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00" w:rsidRPr="00D77A04" w:rsidRDefault="00171F00" w:rsidP="00171F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РОССИЙСКАЯ ФЕДЕРАЦИЯ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АДМИНИСТРАЦИЯ МЕЖОВСКОГО СЕЛЬСОВЕТА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pacing w:val="-1"/>
          <w:sz w:val="24"/>
          <w:szCs w:val="24"/>
        </w:rPr>
      </w:pPr>
      <w:r w:rsidRPr="00D77A04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ПОСТАНОВЛЕНИЕ</w:t>
      </w:r>
    </w:p>
    <w:p w:rsidR="00171F00" w:rsidRPr="00D77A04" w:rsidRDefault="00171F00" w:rsidP="00171F00">
      <w:pPr>
        <w:tabs>
          <w:tab w:val="left" w:pos="826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     2</w:t>
      </w:r>
      <w:r w:rsidR="00D77A04">
        <w:rPr>
          <w:rFonts w:ascii="Arial" w:hAnsi="Arial" w:cs="Arial"/>
          <w:sz w:val="24"/>
          <w:szCs w:val="24"/>
        </w:rPr>
        <w:t>5</w:t>
      </w:r>
      <w:r w:rsidR="00D77A04" w:rsidRPr="00D77A04">
        <w:rPr>
          <w:rFonts w:ascii="Arial" w:hAnsi="Arial" w:cs="Arial"/>
          <w:sz w:val="24"/>
          <w:szCs w:val="24"/>
        </w:rPr>
        <w:t>.06.2024</w:t>
      </w:r>
      <w:r w:rsidRPr="00D77A04">
        <w:rPr>
          <w:rFonts w:ascii="Arial" w:hAnsi="Arial" w:cs="Arial"/>
          <w:sz w:val="24"/>
          <w:szCs w:val="24"/>
        </w:rPr>
        <w:t xml:space="preserve"> г.                                     </w:t>
      </w:r>
      <w:proofErr w:type="spellStart"/>
      <w:r w:rsidRPr="00D77A04">
        <w:rPr>
          <w:rFonts w:ascii="Arial" w:hAnsi="Arial" w:cs="Arial"/>
          <w:sz w:val="24"/>
          <w:szCs w:val="24"/>
        </w:rPr>
        <w:t>с</w:t>
      </w:r>
      <w:proofErr w:type="gramStart"/>
      <w:r w:rsidRPr="00D77A04">
        <w:rPr>
          <w:rFonts w:ascii="Arial" w:hAnsi="Arial" w:cs="Arial"/>
          <w:sz w:val="24"/>
          <w:szCs w:val="24"/>
        </w:rPr>
        <w:t>.М</w:t>
      </w:r>
      <w:proofErr w:type="gramEnd"/>
      <w:r w:rsidRPr="00D77A04">
        <w:rPr>
          <w:rFonts w:ascii="Arial" w:hAnsi="Arial" w:cs="Arial"/>
          <w:sz w:val="24"/>
          <w:szCs w:val="24"/>
        </w:rPr>
        <w:t>ежово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D77A04">
        <w:rPr>
          <w:rFonts w:ascii="Arial" w:hAnsi="Arial" w:cs="Arial"/>
          <w:sz w:val="24"/>
          <w:szCs w:val="24"/>
        </w:rPr>
        <w:t>71</w:t>
      </w:r>
    </w:p>
    <w:p w:rsidR="00171F00" w:rsidRPr="00D77A04" w:rsidRDefault="00171F00" w:rsidP="00171F00">
      <w:pPr>
        <w:tabs>
          <w:tab w:val="left" w:pos="826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171F00" w:rsidRPr="00D77A04" w:rsidRDefault="00171F00" w:rsidP="00171F00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Об  утверждении   порядка   ведения </w:t>
      </w:r>
    </w:p>
    <w:p w:rsidR="00171F00" w:rsidRPr="00D77A04" w:rsidRDefault="00171F00" w:rsidP="00171F00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Реестра муниципального имущества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 сельсовета</w:t>
      </w: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71F00" w:rsidRPr="00D77A04" w:rsidRDefault="00171F00" w:rsidP="00171F00">
      <w:pPr>
        <w:pStyle w:val="ac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77A04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D77A04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D77A04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</w:t>
      </w:r>
      <w:r w:rsidR="00830F54" w:rsidRPr="00D77A04">
        <w:rPr>
          <w:rFonts w:ascii="Arial" w:hAnsi="Arial" w:cs="Arial"/>
          <w:color w:val="000000"/>
          <w:sz w:val="24"/>
          <w:szCs w:val="24"/>
        </w:rPr>
        <w:t>Минфина России от 10.10.2023 № 163н «Об утверждении Порядка ведения органами местного самоуправления реестров муниципального имущества</w:t>
      </w:r>
      <w:r w:rsidRPr="00D77A04">
        <w:rPr>
          <w:rFonts w:ascii="Arial" w:hAnsi="Arial" w:cs="Arial"/>
          <w:bCs/>
          <w:sz w:val="24"/>
          <w:szCs w:val="24"/>
        </w:rPr>
        <w:t>"</w:t>
      </w:r>
      <w:r w:rsidRPr="00D77A04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 w:rsidR="00830F54" w:rsidRPr="00D77A04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D77A04">
        <w:rPr>
          <w:rFonts w:ascii="Arial" w:hAnsi="Arial" w:cs="Arial"/>
          <w:sz w:val="24"/>
          <w:szCs w:val="24"/>
        </w:rPr>
        <w:t xml:space="preserve">в целях организации полного и точного учета объектов, находящихся в собственности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сельсовета, руководствуясь  Уставом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7A0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  <w:r w:rsidRPr="00D77A04">
        <w:rPr>
          <w:rFonts w:ascii="Arial" w:hAnsi="Arial" w:cs="Arial"/>
          <w:sz w:val="24"/>
          <w:szCs w:val="24"/>
        </w:rPr>
        <w:t>, ПОСТАНОВЛЯЮ:</w:t>
      </w:r>
    </w:p>
    <w:p w:rsidR="00171F00" w:rsidRPr="00D77A04" w:rsidRDefault="00171F00" w:rsidP="00171F00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     </w:t>
      </w:r>
    </w:p>
    <w:p w:rsidR="00171F00" w:rsidRPr="00D77A04" w:rsidRDefault="00171F00" w:rsidP="00D77A04">
      <w:pPr>
        <w:pStyle w:val="ac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Утвердить Порядок ведения реестра муниципального имущества</w:t>
      </w:r>
    </w:p>
    <w:p w:rsidR="00171F00" w:rsidRPr="00D77A04" w:rsidRDefault="00171F00" w:rsidP="00D77A04">
      <w:pPr>
        <w:pStyle w:val="ac"/>
        <w:jc w:val="both"/>
        <w:rPr>
          <w:rFonts w:ascii="Arial" w:hAnsi="Arial" w:cs="Arial"/>
          <w:sz w:val="24"/>
          <w:szCs w:val="24"/>
        </w:rPr>
      </w:pP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сельсовета (</w:t>
      </w:r>
      <w:proofErr w:type="gramStart"/>
      <w:r w:rsidRPr="00D77A0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77A04">
        <w:rPr>
          <w:rFonts w:ascii="Arial" w:hAnsi="Arial" w:cs="Arial"/>
          <w:sz w:val="24"/>
          <w:szCs w:val="24"/>
        </w:rPr>
        <w:t xml:space="preserve"> № 1).</w:t>
      </w:r>
    </w:p>
    <w:p w:rsidR="00D77A04" w:rsidRDefault="00830F54" w:rsidP="00D77A0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color w:val="000000"/>
          <w:sz w:val="24"/>
          <w:szCs w:val="24"/>
        </w:rPr>
        <w:t xml:space="preserve">Утвердить форму выписки </w:t>
      </w:r>
      <w:r w:rsidRPr="00D77A04">
        <w:rPr>
          <w:rFonts w:ascii="Arial" w:hAnsi="Arial" w:cs="Arial"/>
          <w:sz w:val="24"/>
          <w:szCs w:val="24"/>
        </w:rPr>
        <w:t xml:space="preserve">из реестра муниципального имущества </w:t>
      </w:r>
      <w:proofErr w:type="gramStart"/>
      <w:r w:rsidRPr="00D77A04">
        <w:rPr>
          <w:rFonts w:ascii="Arial" w:hAnsi="Arial" w:cs="Arial"/>
          <w:sz w:val="24"/>
          <w:szCs w:val="24"/>
        </w:rPr>
        <w:t>об</w:t>
      </w:r>
      <w:proofErr w:type="gramEnd"/>
    </w:p>
    <w:p w:rsidR="00830F54" w:rsidRPr="00D77A04" w:rsidRDefault="00830F54" w:rsidP="00D7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7A04">
        <w:rPr>
          <w:rFonts w:ascii="Arial" w:hAnsi="Arial" w:cs="Arial"/>
          <w:sz w:val="24"/>
          <w:szCs w:val="24"/>
        </w:rPr>
        <w:t>объекте</w:t>
      </w:r>
      <w:proofErr w:type="gramEnd"/>
      <w:r w:rsidRPr="00D77A04">
        <w:rPr>
          <w:rFonts w:ascii="Arial" w:hAnsi="Arial" w:cs="Arial"/>
          <w:sz w:val="24"/>
          <w:szCs w:val="24"/>
        </w:rPr>
        <w:t xml:space="preserve"> учета муниципального имущества (согласно Приложения 2). </w:t>
      </w:r>
    </w:p>
    <w:p w:rsidR="00415751" w:rsidRPr="00D77A04" w:rsidRDefault="00415751" w:rsidP="00D77A04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</w:t>
      </w:r>
      <w:r w:rsidR="00D77A04">
        <w:rPr>
          <w:rFonts w:ascii="Arial" w:hAnsi="Arial" w:cs="Arial"/>
          <w:sz w:val="24"/>
          <w:szCs w:val="24"/>
        </w:rPr>
        <w:t xml:space="preserve">     3. </w:t>
      </w:r>
      <w:r w:rsidRPr="00D77A0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сельсовета от 21.09.2022 № 79 «Об  утверждении   порядка   ведения Реестра муниципального имущества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 сельсовета</w:t>
      </w:r>
      <w:r w:rsidR="00D77A04" w:rsidRPr="00D77A04">
        <w:rPr>
          <w:rFonts w:ascii="Arial" w:hAnsi="Arial" w:cs="Arial"/>
          <w:sz w:val="24"/>
          <w:szCs w:val="24"/>
        </w:rPr>
        <w:t xml:space="preserve">» </w:t>
      </w:r>
      <w:r w:rsidRPr="00D77A04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D77A04" w:rsidRPr="00D77A04">
        <w:rPr>
          <w:rFonts w:ascii="Arial" w:hAnsi="Arial" w:cs="Arial"/>
          <w:sz w:val="24"/>
          <w:szCs w:val="24"/>
        </w:rPr>
        <w:t>.</w:t>
      </w:r>
    </w:p>
    <w:p w:rsidR="00171F00" w:rsidRPr="00D77A04" w:rsidRDefault="00D77A04" w:rsidP="00D77A04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proofErr w:type="gramStart"/>
      <w:r w:rsidR="00171F00" w:rsidRPr="00D77A04">
        <w:rPr>
          <w:rFonts w:ascii="Arial" w:hAnsi="Arial" w:cs="Arial"/>
          <w:sz w:val="24"/>
          <w:szCs w:val="24"/>
        </w:rPr>
        <w:t>Контроль за</w:t>
      </w:r>
      <w:proofErr w:type="gramEnd"/>
      <w:r w:rsidR="00171F00" w:rsidRPr="00D77A04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171F00" w:rsidRPr="00D77A04" w:rsidRDefault="00D77A04" w:rsidP="00D7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</w:t>
      </w:r>
      <w:r w:rsidR="00830F54" w:rsidRPr="00D77A04">
        <w:rPr>
          <w:rFonts w:ascii="Arial" w:hAnsi="Arial" w:cs="Arial"/>
          <w:sz w:val="24"/>
          <w:szCs w:val="24"/>
        </w:rPr>
        <w:t>.</w:t>
      </w:r>
      <w:r w:rsidR="00171F00" w:rsidRPr="00D77A04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171F00" w:rsidRPr="00D77A04" w:rsidRDefault="00171F00" w:rsidP="00D77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171F00" w:rsidRPr="00D77A04" w:rsidRDefault="00171F00" w:rsidP="00D77A04">
      <w:pPr>
        <w:pStyle w:val="ac"/>
        <w:ind w:left="36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D77A04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Н.М.Алексеева</w:t>
      </w: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Default="00171F00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7A04" w:rsidRPr="00D77A04" w:rsidRDefault="00D77A04" w:rsidP="00171F00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      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Приложение 1 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к Постановлению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77A04">
        <w:rPr>
          <w:rFonts w:ascii="Arial" w:hAnsi="Arial" w:cs="Arial"/>
          <w:sz w:val="24"/>
          <w:szCs w:val="24"/>
        </w:rPr>
        <w:t>Межовского</w:t>
      </w:r>
      <w:proofErr w:type="spellEnd"/>
      <w:r w:rsidRPr="00D77A04">
        <w:rPr>
          <w:rFonts w:ascii="Arial" w:hAnsi="Arial" w:cs="Arial"/>
          <w:sz w:val="24"/>
          <w:szCs w:val="24"/>
        </w:rPr>
        <w:t xml:space="preserve">  </w:t>
      </w:r>
    </w:p>
    <w:p w:rsidR="00171F00" w:rsidRPr="00D77A04" w:rsidRDefault="00171F00" w:rsidP="00171F0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сельсовета от 2</w:t>
      </w:r>
      <w:r w:rsidR="001251A9">
        <w:rPr>
          <w:rFonts w:ascii="Arial" w:hAnsi="Arial" w:cs="Arial"/>
          <w:sz w:val="24"/>
          <w:szCs w:val="24"/>
        </w:rPr>
        <w:t>5.06.</w:t>
      </w:r>
      <w:r w:rsidRPr="00D77A04">
        <w:rPr>
          <w:rFonts w:ascii="Arial" w:hAnsi="Arial" w:cs="Arial"/>
          <w:sz w:val="24"/>
          <w:szCs w:val="24"/>
        </w:rPr>
        <w:t>202</w:t>
      </w:r>
      <w:r w:rsidR="001251A9">
        <w:rPr>
          <w:rFonts w:ascii="Arial" w:hAnsi="Arial" w:cs="Arial"/>
          <w:sz w:val="24"/>
          <w:szCs w:val="24"/>
        </w:rPr>
        <w:t>4</w:t>
      </w:r>
      <w:r w:rsidRPr="00D77A04">
        <w:rPr>
          <w:rFonts w:ascii="Arial" w:hAnsi="Arial" w:cs="Arial"/>
          <w:sz w:val="24"/>
          <w:szCs w:val="24"/>
        </w:rPr>
        <w:t xml:space="preserve"> № 7</w:t>
      </w:r>
      <w:r w:rsidR="001251A9">
        <w:rPr>
          <w:rFonts w:ascii="Arial" w:hAnsi="Arial" w:cs="Arial"/>
          <w:sz w:val="24"/>
          <w:szCs w:val="24"/>
        </w:rPr>
        <w:t>1</w:t>
      </w:r>
    </w:p>
    <w:p w:rsidR="00171F00" w:rsidRPr="00D77A04" w:rsidRDefault="00171F00" w:rsidP="00171F0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77A04">
        <w:rPr>
          <w:rFonts w:ascii="Arial" w:hAnsi="Arial" w:cs="Arial"/>
          <w:b/>
          <w:sz w:val="24"/>
          <w:szCs w:val="24"/>
        </w:rPr>
        <w:t>ПОРЯДОК ВЕДЕНИЯ РЕЕСТРА МУНИЦИПАЛЬНОГО ИМУЩЕСТВА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b/>
          <w:sz w:val="24"/>
          <w:szCs w:val="24"/>
        </w:rPr>
        <w:t>МЕЖОВСКОГО  СЕЛЬСОВЕТА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D77A04">
        <w:rPr>
          <w:rFonts w:ascii="Arial" w:hAnsi="Arial" w:cs="Arial"/>
          <w:sz w:val="24"/>
          <w:szCs w:val="24"/>
        </w:rPr>
        <w:t>1. Общие положения</w:t>
      </w:r>
    </w:p>
    <w:p w:rsidR="00171F00" w:rsidRPr="00D77A04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30F54" w:rsidRPr="001251A9" w:rsidRDefault="00830F54" w:rsidP="00830F54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D77A04">
        <w:rPr>
          <w:rFonts w:ascii="Arial" w:hAnsi="Arial" w:cs="Arial"/>
          <w:sz w:val="24"/>
          <w:szCs w:val="24"/>
        </w:rPr>
        <w:t xml:space="preserve">      </w:t>
      </w:r>
      <w:r w:rsidR="00171F00" w:rsidRPr="001251A9">
        <w:rPr>
          <w:rFonts w:ascii="Arial" w:hAnsi="Arial" w:cs="Arial"/>
          <w:sz w:val="24"/>
          <w:szCs w:val="24"/>
        </w:rPr>
        <w:t>1.1.</w:t>
      </w:r>
      <w:r w:rsidRPr="001251A9">
        <w:rPr>
          <w:rFonts w:ascii="Arial" w:hAnsi="Arial" w:cs="Arial"/>
          <w:sz w:val="24"/>
          <w:szCs w:val="24"/>
        </w:rPr>
        <w:t>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30F54" w:rsidRPr="001251A9" w:rsidRDefault="00830F54" w:rsidP="00830F54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 </w:t>
      </w:r>
      <w:r w:rsidR="00171F00" w:rsidRPr="001251A9">
        <w:rPr>
          <w:rFonts w:ascii="Arial" w:hAnsi="Arial" w:cs="Arial"/>
          <w:sz w:val="24"/>
          <w:szCs w:val="24"/>
        </w:rPr>
        <w:t xml:space="preserve">1.2. </w:t>
      </w:r>
      <w:r w:rsidRPr="001251A9">
        <w:rPr>
          <w:rFonts w:ascii="Arial" w:hAnsi="Arial"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1.3.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обременения, прав на объекты муниципальной собственности, а также в целях совершенствования механизма управления и распоряжения муниципальным имуществом </w:t>
      </w:r>
      <w:proofErr w:type="spellStart"/>
      <w:r w:rsidRPr="001251A9">
        <w:rPr>
          <w:rFonts w:ascii="Arial" w:hAnsi="Arial" w:cs="Arial"/>
          <w:sz w:val="24"/>
          <w:szCs w:val="24"/>
        </w:rPr>
        <w:t>Межовского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 сельсовета.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1.4. Ведение реестра обеспечивает решение следующих задач: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собственности;</w:t>
      </w:r>
    </w:p>
    <w:p w:rsidR="00830F54" w:rsidRPr="001251A9" w:rsidRDefault="00171F00" w:rsidP="0083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в) </w:t>
      </w:r>
      <w:r w:rsidR="00830F54" w:rsidRPr="001251A9">
        <w:rPr>
          <w:rFonts w:ascii="Arial" w:hAnsi="Arial" w:cs="Arial"/>
          <w:sz w:val="24"/>
          <w:szCs w:val="24"/>
        </w:rPr>
        <w:t>учет всех объектов недвижимого, движимого и иного имущества, относящегося к муниципальной собственности»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      1.5. В настоящем Порядке под Реестром понимается информационная система, содержащая перечень недвижимых</w:t>
      </w:r>
      <w:r w:rsidR="00830F54" w:rsidRPr="001251A9">
        <w:rPr>
          <w:rFonts w:ascii="Arial" w:hAnsi="Arial" w:cs="Arial"/>
          <w:sz w:val="24"/>
          <w:szCs w:val="24"/>
        </w:rPr>
        <w:t xml:space="preserve">, </w:t>
      </w:r>
      <w:r w:rsidRPr="001251A9">
        <w:rPr>
          <w:rFonts w:ascii="Arial" w:hAnsi="Arial" w:cs="Arial"/>
          <w:sz w:val="24"/>
          <w:szCs w:val="24"/>
        </w:rPr>
        <w:t>движимых</w:t>
      </w:r>
      <w:r w:rsidR="00830F54" w:rsidRPr="001251A9">
        <w:rPr>
          <w:rFonts w:ascii="Arial" w:hAnsi="Arial" w:cs="Arial"/>
          <w:sz w:val="24"/>
          <w:szCs w:val="24"/>
        </w:rPr>
        <w:t xml:space="preserve"> и иных </w:t>
      </w:r>
      <w:r w:rsidRPr="001251A9">
        <w:rPr>
          <w:rFonts w:ascii="Arial" w:hAnsi="Arial" w:cs="Arial"/>
          <w:sz w:val="24"/>
          <w:szCs w:val="24"/>
        </w:rPr>
        <w:t xml:space="preserve"> объектов учета и сведения, характеризующие эти объекты.</w:t>
      </w:r>
    </w:p>
    <w:p w:rsidR="00171F00" w:rsidRPr="001251A9" w:rsidRDefault="00171F00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2. Объектом учета муниципального имущества является следующее муниципальное имущество:</w:t>
      </w:r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251A9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830F54" w:rsidRPr="001251A9" w:rsidRDefault="00830F54" w:rsidP="00830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830F54" w:rsidRPr="001251A9" w:rsidRDefault="00830F54" w:rsidP="00830F54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15751" w:rsidRPr="001251A9" w:rsidRDefault="00415751" w:rsidP="00830F54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bCs/>
          <w:sz w:val="24"/>
          <w:szCs w:val="24"/>
        </w:rPr>
        <w:t xml:space="preserve">3. </w:t>
      </w:r>
      <w:r w:rsidRPr="001251A9">
        <w:rPr>
          <w:rFonts w:ascii="Arial" w:hAnsi="Arial" w:cs="Arial"/>
          <w:sz w:val="24"/>
          <w:szCs w:val="24"/>
        </w:rPr>
        <w:t xml:space="preserve">Ведение реестров осуществляется Администрацией </w:t>
      </w:r>
      <w:proofErr w:type="spellStart"/>
      <w:r w:rsidRPr="001251A9">
        <w:rPr>
          <w:rFonts w:ascii="Arial" w:hAnsi="Arial" w:cs="Arial"/>
          <w:sz w:val="24"/>
          <w:szCs w:val="24"/>
        </w:rPr>
        <w:t>Межовского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сельсовета (далее — уполномоченный орган).</w:t>
      </w:r>
    </w:p>
    <w:p w:rsidR="001251A9" w:rsidRPr="001251A9" w:rsidRDefault="001251A9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 Порядок учета муниципального имущества и ведения реестра муниципального имущества </w:t>
      </w:r>
      <w:proofErr w:type="spellStart"/>
      <w:r w:rsidRPr="001251A9">
        <w:rPr>
          <w:rFonts w:ascii="Arial" w:hAnsi="Arial" w:cs="Arial"/>
          <w:sz w:val="24"/>
          <w:szCs w:val="24"/>
        </w:rPr>
        <w:t>Межовского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сельсовета.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4.1. Учет муниципального имущества в реестре сопровождается присвоением реестрового номера муниципального имущества (далее - реестровый номер)..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4.2.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Форма выписки из реестра приведена в приложении № 2 к настоящему Порядку.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4.3. Реестры ведутся на бумажных и (или) электронных носителях.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1251A9">
        <w:rPr>
          <w:rFonts w:ascii="Arial" w:hAnsi="Arial"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4.5. Неотъемлемой частью реестра являются: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а) документы, подтверждающие сведения, включаемые в реестр (далее - подтверждающие документы);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4.6.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Сведения, содержащиеся в реестре, хранятся в соответствии с Федеральным </w:t>
      </w:r>
      <w:hyperlink r:id="rId8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1251A9">
        <w:rPr>
          <w:rFonts w:ascii="Arial" w:hAnsi="Arial" w:cs="Arial"/>
          <w:sz w:val="24"/>
          <w:szCs w:val="24"/>
        </w:rPr>
        <w:t xml:space="preserve"> от 22.10.2004 № 125-ФЗ «Об архивном деле в Российской Федерации».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5. Состав сведений, подлежащих отражению в реестре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5.1. Реестр состоит из 3 разделов. </w:t>
      </w:r>
      <w:proofErr w:type="gramStart"/>
      <w:r w:rsidRPr="001251A9">
        <w:rPr>
          <w:rFonts w:ascii="Arial" w:hAnsi="Arial" w:cs="Arial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5.2. В раздел 1 вносятся сведения о недвижимом имуществе.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1.1 раздела 1 реестра вносятся сведения о земельных участках,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9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классификатора</w:t>
        </w:r>
      </w:hyperlink>
      <w:r w:rsidRPr="001251A9">
        <w:rPr>
          <w:rFonts w:ascii="Arial" w:hAnsi="Arial" w:cs="Arial"/>
          <w:sz w:val="24"/>
          <w:szCs w:val="24"/>
        </w:rPr>
        <w:t xml:space="preserve"> территорий муниципальных образований (далее - ОКТМО);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земельного участка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(месту пребывания) (для физических лиц) (с указанием кода </w:t>
      </w:r>
      <w:hyperlink r:id="rId10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 (далее - сведения о правообладателе);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произведенном улучшении земельного участка;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  <w:proofErr w:type="gramEnd"/>
      </w:hyperlink>
      <w:r w:rsidRPr="001251A9">
        <w:rPr>
          <w:rFonts w:ascii="Arial" w:hAnsi="Arial" w:cs="Arial"/>
          <w:sz w:val="24"/>
          <w:szCs w:val="24"/>
        </w:rPr>
        <w:t xml:space="preserve">) (далее - 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объекта учета (с указанием кода </w:t>
      </w:r>
      <w:hyperlink r:id="rId12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1251A9">
        <w:rPr>
          <w:rFonts w:ascii="Arial" w:hAnsi="Arial" w:cs="Arial"/>
          <w:sz w:val="24"/>
          <w:szCs w:val="24"/>
        </w:rPr>
        <w:t>машино-местах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и иных объектах, отнесенных законом к недвижимости,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адрес (местоположение) объекта учета (с указанием кода </w:t>
      </w:r>
      <w:hyperlink r:id="rId13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4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регистрационный номер (с датой присвоения);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судна;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1251A9">
        <w:rPr>
          <w:rFonts w:ascii="Arial" w:hAnsi="Arial" w:cs="Arial"/>
          <w:sz w:val="24"/>
          <w:szCs w:val="24"/>
        </w:rPr>
        <w:t>произведенных</w:t>
      </w:r>
      <w:proofErr w:type="gramEnd"/>
      <w:r w:rsidRPr="001251A9">
        <w:rPr>
          <w:rFonts w:ascii="Arial" w:hAnsi="Arial" w:cs="Arial"/>
          <w:sz w:val="24"/>
          <w:szCs w:val="24"/>
        </w:rPr>
        <w:t xml:space="preserve"> ремонте, модернизации судна;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раздел 2 вносятся сведения о движимом и ином имуществе.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2.1 раздела 2 реестра вносятся сведения об акциях,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наименование движимого имущества (иного имущества);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объекте учета, в том числе: марка, модель, год выпуска, инвентарный номер;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стоимости доли;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1A9">
        <w:rPr>
          <w:rFonts w:ascii="Arial" w:hAnsi="Arial" w:cs="Arial"/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history="1">
        <w:r w:rsidRPr="001251A9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1251A9">
        <w:rPr>
          <w:rFonts w:ascii="Arial" w:hAnsi="Arial" w:cs="Arial"/>
          <w:sz w:val="24"/>
          <w:szCs w:val="24"/>
        </w:rPr>
        <w:t xml:space="preserve">); </w:t>
      </w:r>
      <w:proofErr w:type="gramEnd"/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1251A9">
        <w:rPr>
          <w:rFonts w:ascii="Arial" w:hAnsi="Arial" w:cs="Arial"/>
          <w:sz w:val="24"/>
          <w:szCs w:val="24"/>
        </w:rPr>
        <w:lastRenderedPageBreak/>
        <w:t xml:space="preserve">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сведения о правообладателях;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реестровый номер объектов учета, принадлежащих на соответствующем вещном праве;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5.3.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415751" w:rsidRPr="001251A9" w:rsidRDefault="00415751" w:rsidP="0041575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171F00" w:rsidRPr="001251A9" w:rsidRDefault="00171F00" w:rsidP="00171F0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30F54" w:rsidRPr="001251A9" w:rsidRDefault="00830F54" w:rsidP="00171F00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1"/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1251A9" w:rsidRDefault="00D77A04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lastRenderedPageBreak/>
        <w:t>«Приложение 2</w:t>
      </w: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251A9">
        <w:rPr>
          <w:rFonts w:ascii="Arial" w:hAnsi="Arial" w:cs="Arial"/>
          <w:sz w:val="24"/>
          <w:szCs w:val="24"/>
        </w:rPr>
        <w:t>Межовского</w:t>
      </w:r>
      <w:proofErr w:type="spellEnd"/>
      <w:r w:rsidRPr="001251A9">
        <w:rPr>
          <w:rFonts w:ascii="Arial" w:hAnsi="Arial" w:cs="Arial"/>
          <w:sz w:val="24"/>
          <w:szCs w:val="24"/>
        </w:rPr>
        <w:t xml:space="preserve"> сельсовета</w:t>
      </w:r>
    </w:p>
    <w:p w:rsidR="00415751" w:rsidRPr="001251A9" w:rsidRDefault="00415751" w:rsidP="00415751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от 2</w:t>
      </w:r>
      <w:r w:rsidR="001F402C">
        <w:rPr>
          <w:rFonts w:ascii="Arial" w:hAnsi="Arial" w:cs="Arial"/>
          <w:sz w:val="24"/>
          <w:szCs w:val="24"/>
        </w:rPr>
        <w:t>5.06.2024</w:t>
      </w:r>
      <w:r w:rsidRPr="001251A9">
        <w:rPr>
          <w:rFonts w:ascii="Arial" w:hAnsi="Arial" w:cs="Arial"/>
          <w:sz w:val="24"/>
          <w:szCs w:val="24"/>
        </w:rPr>
        <w:t xml:space="preserve"> № 7</w:t>
      </w:r>
      <w:r w:rsidR="001F402C">
        <w:rPr>
          <w:rFonts w:ascii="Arial" w:hAnsi="Arial" w:cs="Arial"/>
          <w:sz w:val="24"/>
          <w:szCs w:val="24"/>
        </w:rPr>
        <w:t>1</w:t>
      </w:r>
    </w:p>
    <w:p w:rsidR="00415751" w:rsidRPr="001251A9" w:rsidRDefault="00415751" w:rsidP="00415751">
      <w:pPr>
        <w:pStyle w:val="a6"/>
        <w:spacing w:line="285" w:lineRule="atLeast"/>
        <w:jc w:val="both"/>
        <w:rPr>
          <w:rFonts w:ascii="Arial" w:hAnsi="Arial" w:cs="Arial"/>
          <w:sz w:val="24"/>
          <w:szCs w:val="24"/>
        </w:rPr>
      </w:pPr>
      <w:r w:rsidRPr="001251A9">
        <w:rPr>
          <w:rFonts w:ascii="Arial" w:hAnsi="Arial" w:cs="Arial"/>
          <w:sz w:val="24"/>
          <w:szCs w:val="24"/>
        </w:rPr>
        <w:t> </w:t>
      </w:r>
      <w:r w:rsidRPr="001251A9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4"/>
        <w:gridCol w:w="355"/>
        <w:gridCol w:w="316"/>
        <w:gridCol w:w="302"/>
        <w:gridCol w:w="408"/>
        <w:gridCol w:w="447"/>
        <w:gridCol w:w="263"/>
        <w:gridCol w:w="552"/>
        <w:gridCol w:w="736"/>
        <w:gridCol w:w="159"/>
        <w:gridCol w:w="1092"/>
      </w:tblGrid>
      <w:tr w:rsidR="00415751" w:rsidRPr="001251A9" w:rsidTr="001B7A86">
        <w:trPr>
          <w:trHeight w:val="1202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ВЫПИСКА № ____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из реестра муниципального имущества об объекте учета муниципального имущества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 «__»________ 20__ г.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1131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Орган местного самоуправления, уполномоченный на ведение реестра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муниципального имущества ________________________________________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</w:t>
            </w:r>
            <w:proofErr w:type="gramStart"/>
            <w:r w:rsidRPr="001251A9">
              <w:rPr>
                <w:rFonts w:ascii="Arial" w:hAnsi="Arial" w:cs="Arial"/>
                <w:i/>
                <w:sz w:val="24"/>
                <w:szCs w:val="24"/>
              </w:rPr>
              <w:t>(наименование органа местного</w:t>
            </w:r>
            <w:proofErr w:type="gramEnd"/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самоуправления, уполномоченного на ведение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реестра муниципального имущества)</w:t>
            </w:r>
          </w:p>
        </w:tc>
      </w:tr>
      <w:tr w:rsidR="00415751" w:rsidRPr="001251A9" w:rsidTr="001B7A86">
        <w:trPr>
          <w:trHeight w:val="678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Заявитель _______________________________________________________</w:t>
            </w:r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</w:t>
            </w:r>
            <w:proofErr w:type="gramStart"/>
            <w:r w:rsidRPr="001251A9">
              <w:rPr>
                <w:rFonts w:ascii="Arial" w:hAnsi="Arial" w:cs="Arial"/>
                <w:i/>
                <w:sz w:val="24"/>
                <w:szCs w:val="24"/>
              </w:rPr>
              <w:t>(наименование юридического лица, фамилия, имя, отчество</w:t>
            </w:r>
            <w:proofErr w:type="gramEnd"/>
          </w:p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</w:t>
            </w:r>
            <w:r w:rsidRPr="001251A9">
              <w:rPr>
                <w:rFonts w:ascii="Arial" w:hAnsi="Arial" w:cs="Arial"/>
                <w:i/>
                <w:sz w:val="24"/>
                <w:szCs w:val="24"/>
              </w:rPr>
              <w:t>(при наличии) физического лица)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1. Сведения об объекте муниципального имущества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6275" w:type="dxa"/>
            <w:gridSpan w:val="5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Вид и наименование объекта учета 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62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5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Дата присвоения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Наименования сведений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Значения сведений </w:t>
            </w:r>
          </w:p>
        </w:tc>
      </w:tr>
      <w:tr w:rsidR="00415751" w:rsidRPr="001251A9" w:rsidTr="001B7A86">
        <w:trPr>
          <w:trHeight w:val="396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415751" w:rsidRPr="001251A9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415751" w:rsidRPr="001251A9" w:rsidTr="001B7A86">
        <w:trPr>
          <w:trHeight w:val="396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Наименование изменения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Значение сведений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Дата изменения </w:t>
            </w:r>
          </w:p>
        </w:tc>
      </w:tr>
      <w:tr w:rsidR="00415751" w:rsidRPr="001251A9" w:rsidTr="001B7A86">
        <w:trPr>
          <w:trHeight w:val="396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415751" w:rsidRPr="001251A9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22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------------------------------------------------------------------</w:t>
            </w:r>
          </w:p>
        </w:tc>
      </w:tr>
      <w:tr w:rsidR="00415751" w:rsidRPr="001251A9" w:rsidTr="001B7A86">
        <w:trPr>
          <w:trHeight w:val="806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ОТМЕТКА О ПОДТВЕРЖДЕНИИ СВЕДЕНИЙ, </w:t>
            </w:r>
          </w:p>
          <w:p w:rsidR="00415751" w:rsidRPr="001251A9" w:rsidRDefault="00415751" w:rsidP="001B7A8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51A9">
              <w:rPr>
                <w:rFonts w:ascii="Arial" w:hAnsi="Arial" w:cs="Arial"/>
                <w:sz w:val="24"/>
                <w:szCs w:val="24"/>
              </w:rPr>
              <w:t>СОДЕРЖАЩИХСЯ</w:t>
            </w:r>
            <w:proofErr w:type="gramEnd"/>
            <w:r w:rsidRPr="001251A9">
              <w:rPr>
                <w:rFonts w:ascii="Arial" w:hAnsi="Arial" w:cs="Arial"/>
                <w:sz w:val="24"/>
                <w:szCs w:val="24"/>
              </w:rPr>
              <w:t xml:space="preserve"> В НАСТОЯЩЕЙ ВЫПИСКЕ </w:t>
            </w:r>
          </w:p>
        </w:tc>
      </w:tr>
      <w:tr w:rsidR="00415751" w:rsidRPr="001251A9" w:rsidTr="001B7A86">
        <w:trPr>
          <w:trHeight w:val="410"/>
        </w:trPr>
        <w:tc>
          <w:tcPr>
            <w:tcW w:w="4894" w:type="dxa"/>
            <w:vAlign w:val="center"/>
            <w:hideMark/>
          </w:tcPr>
          <w:p w:rsidR="00415751" w:rsidRPr="001251A9" w:rsidRDefault="00415751" w:rsidP="001F402C">
            <w:pPr>
              <w:pStyle w:val="a8"/>
              <w:spacing w:line="285" w:lineRule="atLeast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1F402C" w:rsidRPr="001251A9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1F402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5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-5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1251A9" w:rsidTr="001B7A86">
        <w:trPr>
          <w:trHeight w:val="650"/>
        </w:trPr>
        <w:tc>
          <w:tcPr>
            <w:tcW w:w="4894" w:type="dxa"/>
            <w:vAlign w:val="center"/>
            <w:hideMark/>
          </w:tcPr>
          <w:p w:rsidR="00415751" w:rsidRPr="001251A9" w:rsidRDefault="00415751" w:rsidP="001F402C">
            <w:pPr>
              <w:pStyle w:val="a8"/>
              <w:spacing w:line="285" w:lineRule="atLeast"/>
              <w:ind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F402C">
            <w:pPr>
              <w:pStyle w:val="a8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(должность) </w:t>
            </w:r>
          </w:p>
        </w:tc>
        <w:tc>
          <w:tcPr>
            <w:tcW w:w="447" w:type="dxa"/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</w:tc>
        <w:tc>
          <w:tcPr>
            <w:tcW w:w="736" w:type="dxa"/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 </w:t>
            </w:r>
            <w:r w:rsidRPr="001251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1251A9" w:rsidRDefault="00415751" w:rsidP="001B7A86">
            <w:pPr>
              <w:pStyle w:val="a8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 xml:space="preserve">(расшифровка подписи) </w:t>
            </w:r>
          </w:p>
        </w:tc>
      </w:tr>
      <w:tr w:rsidR="00415751" w:rsidRPr="001251A9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1251A9" w:rsidRDefault="00415751" w:rsidP="001B7A86">
            <w:pPr>
              <w:pStyle w:val="a8"/>
              <w:spacing w:line="285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1251A9">
              <w:rPr>
                <w:rFonts w:ascii="Arial" w:hAnsi="Arial" w:cs="Arial"/>
                <w:sz w:val="24"/>
                <w:szCs w:val="24"/>
              </w:rPr>
              <w:t>"__" ________________ 20__ г.».</w:t>
            </w:r>
          </w:p>
        </w:tc>
      </w:tr>
    </w:tbl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1251A9" w:rsidRDefault="00415751" w:rsidP="00171F00">
      <w:pPr>
        <w:pStyle w:val="ac"/>
        <w:jc w:val="both"/>
        <w:rPr>
          <w:rFonts w:ascii="Arial" w:hAnsi="Arial" w:cs="Arial"/>
          <w:sz w:val="24"/>
          <w:szCs w:val="24"/>
        </w:rPr>
      </w:pPr>
    </w:p>
    <w:bookmarkEnd w:id="2"/>
    <w:p w:rsidR="00171F00" w:rsidRPr="001251A9" w:rsidRDefault="00171F00" w:rsidP="00171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109" w:rsidRPr="001251A9" w:rsidRDefault="00150109">
      <w:pPr>
        <w:rPr>
          <w:rFonts w:ascii="Arial" w:hAnsi="Arial" w:cs="Arial"/>
          <w:sz w:val="24"/>
          <w:szCs w:val="24"/>
        </w:rPr>
      </w:pPr>
    </w:p>
    <w:p w:rsidR="00415751" w:rsidRPr="001251A9" w:rsidRDefault="00415751"/>
    <w:sectPr w:rsidR="00415751" w:rsidRPr="001251A9" w:rsidSect="0015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F8" w:rsidRDefault="00276DF8" w:rsidP="00171F00">
      <w:pPr>
        <w:spacing w:after="0" w:line="240" w:lineRule="auto"/>
      </w:pPr>
      <w:r>
        <w:separator/>
      </w:r>
    </w:p>
  </w:endnote>
  <w:endnote w:type="continuationSeparator" w:id="0">
    <w:p w:rsidR="00276DF8" w:rsidRDefault="00276DF8" w:rsidP="001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F8" w:rsidRDefault="00276DF8" w:rsidP="00171F00">
      <w:pPr>
        <w:spacing w:after="0" w:line="240" w:lineRule="auto"/>
      </w:pPr>
      <w:r>
        <w:separator/>
      </w:r>
    </w:p>
  </w:footnote>
  <w:footnote w:type="continuationSeparator" w:id="0">
    <w:p w:rsidR="00276DF8" w:rsidRDefault="00276DF8" w:rsidP="0017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988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1425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F00"/>
    <w:rsid w:val="001251A9"/>
    <w:rsid w:val="00150109"/>
    <w:rsid w:val="00171F00"/>
    <w:rsid w:val="001F402C"/>
    <w:rsid w:val="00276DF8"/>
    <w:rsid w:val="002F6250"/>
    <w:rsid w:val="00302B98"/>
    <w:rsid w:val="00415751"/>
    <w:rsid w:val="006104C9"/>
    <w:rsid w:val="00830F54"/>
    <w:rsid w:val="00A36B63"/>
    <w:rsid w:val="00B46D34"/>
    <w:rsid w:val="00D7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1F00"/>
    <w:rPr>
      <w:color w:val="000080"/>
      <w:u w:val="single"/>
    </w:rPr>
  </w:style>
  <w:style w:type="paragraph" w:styleId="a4">
    <w:name w:val="footnote text"/>
    <w:basedOn w:val="a"/>
    <w:link w:val="a5"/>
    <w:unhideWhenUsed/>
    <w:rsid w:val="00171F00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71F00"/>
    <w:rPr>
      <w:rFonts w:ascii="Calibri" w:eastAsia="Calibri" w:hAnsi="Calibri" w:cs="Calibri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171F00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171F00"/>
    <w:rPr>
      <w:rFonts w:ascii="Calibri" w:eastAsia="Calibri" w:hAnsi="Calibri" w:cs="Calibri"/>
      <w:lang w:eastAsia="zh-CN"/>
    </w:rPr>
  </w:style>
  <w:style w:type="paragraph" w:customStyle="1" w:styleId="a8">
    <w:name w:val="Содержимое таблицы"/>
    <w:basedOn w:val="a"/>
    <w:rsid w:val="00171F00"/>
    <w:pPr>
      <w:widowControl w:val="0"/>
      <w:suppressLineNumbers/>
    </w:pPr>
  </w:style>
  <w:style w:type="paragraph" w:customStyle="1" w:styleId="a9">
    <w:name w:val="Текст в заданном формате"/>
    <w:basedOn w:val="a"/>
    <w:rsid w:val="00171F00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styleId="aa">
    <w:name w:val="footnote reference"/>
    <w:unhideWhenUsed/>
    <w:rsid w:val="00171F00"/>
    <w:rPr>
      <w:vertAlign w:val="superscript"/>
    </w:rPr>
  </w:style>
  <w:style w:type="character" w:customStyle="1" w:styleId="ab">
    <w:name w:val="Символ сноски"/>
    <w:rsid w:val="00171F00"/>
  </w:style>
  <w:style w:type="paragraph" w:styleId="ac">
    <w:name w:val="No Spacing"/>
    <w:qFormat/>
    <w:rsid w:val="00171F0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71F0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&amp;date=21.05.2024" TargetMode="External"/><Relationship Id="rId13" Type="http://schemas.openxmlformats.org/officeDocument/2006/relationships/hyperlink" Target="https://login.consultant.ru/link/?req=doc&amp;base=LAW&amp;n=149911&amp;date=21.05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5105" TargetMode="External"/><Relationship Id="rId12" Type="http://schemas.openxmlformats.org/officeDocument/2006/relationships/hyperlink" Target="https://login.consultant.ru/link/?req=doc&amp;base=LAW&amp;n=149911&amp;date=21.05.2024" TargetMode="External"/><Relationship Id="rId17" Type="http://schemas.openxmlformats.org/officeDocument/2006/relationships/hyperlink" Target="https://login.consultant.ru/link/?req=doc&amp;base=LAW&amp;n=149911&amp;date=21.05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1.05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&amp;date=21.05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21.05.2024" TargetMode="External"/><Relationship Id="rId10" Type="http://schemas.openxmlformats.org/officeDocument/2006/relationships/hyperlink" Target="https://login.consultant.ru/link/?req=doc&amp;base=LAW&amp;n=149911&amp;date=21.05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1.05.2024" TargetMode="External"/><Relationship Id="rId14" Type="http://schemas.openxmlformats.org/officeDocument/2006/relationships/hyperlink" Target="https://login.consultant.ru/link/?req=doc&amp;base=LAW&amp;n=149911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cp:lastPrinted>2024-06-27T10:24:00Z</cp:lastPrinted>
  <dcterms:created xsi:type="dcterms:W3CDTF">2024-06-21T06:01:00Z</dcterms:created>
  <dcterms:modified xsi:type="dcterms:W3CDTF">2024-06-28T03:56:00Z</dcterms:modified>
</cp:coreProperties>
</file>