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B82CF0" w:rsidP="00D2492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РАЗДОЛЬНЕНСКОГО</w:t>
      </w:r>
      <w:r w:rsidR="00D24923" w:rsidRPr="00DE7A8A">
        <w:rPr>
          <w:rFonts w:ascii="Arial" w:hAnsi="Arial" w:cs="Arial"/>
        </w:rPr>
        <w:t xml:space="preserve">  СЕЛЬСОВЕТА</w:t>
      </w:r>
      <w:r w:rsidR="00D24923" w:rsidRPr="00DE7A8A">
        <w:rPr>
          <w:rFonts w:ascii="Arial" w:hAnsi="Arial" w:cs="Arial"/>
        </w:rPr>
        <w:br/>
        <w:t>БОЛЬШЕМУРТИНСКОГО РАЙОНА</w:t>
      </w:r>
      <w:r w:rsidR="00D24923"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CC4858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___ __</w:t>
      </w:r>
      <w:r w:rsidR="00B82CF0">
        <w:rPr>
          <w:rFonts w:ascii="Arial" w:hAnsi="Arial" w:cs="Arial"/>
        </w:rPr>
        <w:t xml:space="preserve">_____ 2024                 </w:t>
      </w:r>
      <w:r w:rsidR="00D24923" w:rsidRPr="00DE7A8A">
        <w:rPr>
          <w:rFonts w:ascii="Arial" w:hAnsi="Arial" w:cs="Arial"/>
        </w:rPr>
        <w:t xml:space="preserve"> </w:t>
      </w:r>
      <w:r w:rsidR="00B82CF0">
        <w:rPr>
          <w:rFonts w:ascii="Arial" w:hAnsi="Arial" w:cs="Arial"/>
        </w:rPr>
        <w:t xml:space="preserve">     </w:t>
      </w:r>
      <w:r w:rsidR="00D24923" w:rsidRPr="00DE7A8A">
        <w:rPr>
          <w:rFonts w:ascii="Arial" w:hAnsi="Arial" w:cs="Arial"/>
        </w:rPr>
        <w:t xml:space="preserve"> </w:t>
      </w:r>
      <w:r w:rsidR="00B82CF0">
        <w:rPr>
          <w:rFonts w:ascii="Arial" w:hAnsi="Arial" w:cs="Arial"/>
        </w:rPr>
        <w:t>п. Раздольное</w:t>
      </w:r>
      <w:r w:rsidR="00D24923" w:rsidRPr="00DE7A8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№ __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B82CF0" w:rsidRDefault="00D24923" w:rsidP="00B82CF0">
      <w:pPr>
        <w:jc w:val="both"/>
      </w:pPr>
      <w:proofErr w:type="gramStart"/>
      <w:r w:rsidRPr="00B82CF0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82CF0">
        <w:rPr>
          <w:rFonts w:ascii="Arial" w:hAnsi="Arial" w:cs="Arial"/>
        </w:rPr>
        <w:t xml:space="preserve">Постановлением администрации </w:t>
      </w:r>
      <w:r w:rsidR="00B82CF0" w:rsidRPr="00B82CF0">
        <w:rPr>
          <w:rFonts w:ascii="Arial" w:hAnsi="Arial" w:cs="Arial"/>
        </w:rPr>
        <w:t>Раздольненского</w:t>
      </w:r>
      <w:r w:rsidRPr="00B82CF0">
        <w:rPr>
          <w:rFonts w:ascii="Arial" w:hAnsi="Arial" w:cs="Arial"/>
        </w:rPr>
        <w:t xml:space="preserve"> сельсовета от </w:t>
      </w:r>
      <w:r w:rsidR="00B82CF0" w:rsidRPr="00B82CF0">
        <w:rPr>
          <w:rFonts w:ascii="Arial" w:hAnsi="Arial" w:cs="Arial"/>
        </w:rPr>
        <w:t>24.10</w:t>
      </w:r>
      <w:r w:rsidRPr="00B82CF0">
        <w:rPr>
          <w:rFonts w:ascii="Arial" w:hAnsi="Arial" w:cs="Arial"/>
        </w:rPr>
        <w:t xml:space="preserve">.2018 № </w:t>
      </w:r>
      <w:r w:rsidR="00B82CF0" w:rsidRPr="00B82CF0">
        <w:rPr>
          <w:rFonts w:ascii="Arial" w:hAnsi="Arial" w:cs="Arial"/>
        </w:rPr>
        <w:t>56</w:t>
      </w:r>
      <w:r w:rsidRPr="00B82CF0">
        <w:rPr>
          <w:rFonts w:ascii="Arial" w:hAnsi="Arial" w:cs="Arial"/>
        </w:rPr>
        <w:t xml:space="preserve"> «</w:t>
      </w:r>
      <w:r w:rsidR="00B82CF0" w:rsidRPr="00B82CF0">
        <w:rPr>
          <w:rFonts w:ascii="Arial" w:hAnsi="Arial" w:cs="Arial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B82CF0" w:rsidRPr="00B82CF0">
        <w:rPr>
          <w:rFonts w:ascii="Arial" w:hAnsi="Arial" w:cs="Arial"/>
        </w:rPr>
        <w:t>Раздольненский</w:t>
      </w:r>
      <w:proofErr w:type="spellEnd"/>
      <w:r w:rsidR="00B82CF0" w:rsidRPr="00B82CF0">
        <w:rPr>
          <w:rFonts w:ascii="Arial" w:hAnsi="Arial" w:cs="Arial"/>
        </w:rPr>
        <w:t xml:space="preserve"> сельсовет  Большемуртинского района  Красноярского края</w:t>
      </w:r>
      <w:r w:rsidRPr="00B82CF0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 xml:space="preserve">, руководствуясь Уставом </w:t>
      </w:r>
      <w:r w:rsidR="00B82CF0">
        <w:rPr>
          <w:rFonts w:ascii="Arial" w:hAnsi="Arial" w:cs="Arial"/>
        </w:rPr>
        <w:t>Раздольненского</w:t>
      </w:r>
      <w:r w:rsidRPr="00DE7A8A">
        <w:rPr>
          <w:rFonts w:ascii="Arial" w:hAnsi="Arial" w:cs="Arial"/>
        </w:rPr>
        <w:t xml:space="preserve"> сельсовета Большемуртинского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 xml:space="preserve">остановления администрации </w:t>
      </w:r>
      <w:r w:rsidR="00B82CF0">
        <w:rPr>
          <w:rFonts w:ascii="Arial" w:hAnsi="Arial" w:cs="Arial"/>
        </w:rPr>
        <w:t>Раздольненского</w:t>
      </w:r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4A0C9F" w:rsidP="00120A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82CF0">
        <w:rPr>
          <w:rFonts w:ascii="Arial" w:hAnsi="Arial" w:cs="Arial"/>
        </w:rPr>
        <w:t>от 08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 w:rsidR="00DE7A8A" w:rsidRPr="00DE7A8A">
        <w:rPr>
          <w:rFonts w:ascii="Arial" w:hAnsi="Arial" w:cs="Arial"/>
        </w:rPr>
        <w:t>9г. №</w:t>
      </w:r>
      <w:r w:rsidR="00B82CF0">
        <w:rPr>
          <w:rFonts w:ascii="Arial" w:hAnsi="Arial" w:cs="Arial"/>
        </w:rPr>
        <w:t>29</w:t>
      </w:r>
      <w:r w:rsidR="00D24923" w:rsidRPr="00DE7A8A">
        <w:rPr>
          <w:rFonts w:ascii="Arial" w:hAnsi="Arial" w:cs="Arial"/>
        </w:rPr>
        <w:t xml:space="preserve"> «</w:t>
      </w:r>
      <w:r w:rsidR="00120A68" w:rsidRPr="00120A68">
        <w:rPr>
          <w:rFonts w:ascii="Arial" w:hAnsi="Arial" w:cs="Arial"/>
        </w:rPr>
        <w:t>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0</w:t>
      </w:r>
      <w:r w:rsidR="004A0C9F">
        <w:rPr>
          <w:rFonts w:ascii="Arial" w:hAnsi="Arial" w:cs="Arial"/>
        </w:rPr>
        <w:t>5</w:t>
      </w:r>
      <w:r w:rsidRPr="00DE7A8A">
        <w:rPr>
          <w:rFonts w:ascii="Arial" w:hAnsi="Arial" w:cs="Arial"/>
        </w:rPr>
        <w:t>.0</w:t>
      </w:r>
      <w:r w:rsidR="004A0C9F">
        <w:rPr>
          <w:rFonts w:ascii="Arial" w:hAnsi="Arial" w:cs="Arial"/>
        </w:rPr>
        <w:t>2.2020 №7</w:t>
      </w:r>
      <w:r w:rsidRPr="00DE7A8A">
        <w:rPr>
          <w:rFonts w:ascii="Arial" w:hAnsi="Arial" w:cs="Arial"/>
        </w:rPr>
        <w:t xml:space="preserve"> «</w:t>
      </w:r>
      <w:r w:rsidR="004A0C9F" w:rsidRPr="004A0C9F">
        <w:rPr>
          <w:rFonts w:ascii="Arial" w:hAnsi="Arial" w:cs="Arial"/>
        </w:rPr>
        <w:t>О внесении изменений в Постановление администрации Раздольненского сельсовета от 08.04.2019г. № 29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</w:t>
      </w:r>
      <w:r w:rsidR="004A0C9F">
        <w:rPr>
          <w:rFonts w:ascii="Arial" w:hAnsi="Arial" w:cs="Arial"/>
        </w:rPr>
        <w:t>го помещения в жилое помещение</w:t>
      </w:r>
      <w:r w:rsidR="00DE7A8A" w:rsidRPr="00DE7A8A">
        <w:rPr>
          <w:rFonts w:ascii="Arial" w:hAnsi="Arial" w:cs="Arial"/>
        </w:rPr>
        <w:t>»»;</w:t>
      </w:r>
    </w:p>
    <w:p w:rsidR="00DE7A8A" w:rsidRPr="004A0C9F" w:rsidRDefault="004A0C9F" w:rsidP="004A0C9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</w:t>
      </w:r>
      <w:r w:rsidR="00DE7A8A" w:rsidRPr="00DE7A8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DE7A8A" w:rsidRPr="00DE7A8A">
        <w:rPr>
          <w:rFonts w:ascii="Arial" w:hAnsi="Arial" w:cs="Arial"/>
        </w:rPr>
        <w:t xml:space="preserve"> </w:t>
      </w:r>
      <w:r w:rsidR="00DE7A8A" w:rsidRPr="004A0C9F">
        <w:rPr>
          <w:rFonts w:ascii="Arial" w:hAnsi="Arial" w:cs="Arial"/>
        </w:rPr>
        <w:t>«</w:t>
      </w:r>
      <w:r w:rsidRPr="004A0C9F">
        <w:rPr>
          <w:rFonts w:ascii="Arial" w:eastAsiaTheme="minorEastAsia" w:hAnsi="Arial" w:cs="Arial"/>
          <w:shd w:val="clear" w:color="auto" w:fill="FFFFFF"/>
        </w:rPr>
        <w:t>О внесении изменений в постановление администрации Раздольненского сельсовета от 08.04.2019 № 29 «</w:t>
      </w:r>
      <w:r w:rsidRPr="004A0C9F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</w:t>
      </w:r>
      <w:r w:rsidR="00DE7A8A" w:rsidRPr="004A0C9F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021E9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 w:rsidR="00D24923" w:rsidRPr="00DE7A8A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         Г.Н. Доронин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r w:rsidR="00021E93">
        <w:rPr>
          <w:rFonts w:ascii="Arial" w:hAnsi="Arial" w:cs="Arial"/>
        </w:rPr>
        <w:t>Раздольненского</w:t>
      </w:r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________ 2024 № ____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 xml:space="preserve">Информация о местонахождении администрации </w:t>
      </w:r>
      <w:r w:rsidR="00021E93">
        <w:rPr>
          <w:rFonts w:ascii="Arial" w:hAnsi="Arial" w:cs="Arial"/>
        </w:rPr>
        <w:t>Раздольненского</w:t>
      </w:r>
      <w:r w:rsidR="00F215F0" w:rsidRPr="00F215F0">
        <w:rPr>
          <w:rFonts w:ascii="Arial" w:hAnsi="Arial" w:cs="Arial"/>
        </w:rPr>
        <w:t xml:space="preserve"> сельсовета Большемуртинского района Красноярского края (далее – Администрация):</w:t>
      </w:r>
    </w:p>
    <w:p w:rsidR="00F215F0" w:rsidRPr="00021E93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215F0">
        <w:rPr>
          <w:rFonts w:ascii="Arial" w:hAnsi="Arial" w:cs="Arial"/>
        </w:rPr>
        <w:t>Адрес: 663</w:t>
      </w:r>
      <w:r w:rsidR="00021E93">
        <w:rPr>
          <w:rFonts w:ascii="Arial" w:hAnsi="Arial" w:cs="Arial"/>
        </w:rPr>
        <w:t>063</w:t>
      </w:r>
      <w:r w:rsidRPr="00F215F0">
        <w:rPr>
          <w:rFonts w:ascii="Arial" w:hAnsi="Arial" w:cs="Arial"/>
        </w:rPr>
        <w:t xml:space="preserve">, Красноярский  край, </w:t>
      </w:r>
      <w:proofErr w:type="spellStart"/>
      <w:r w:rsidRPr="00F215F0">
        <w:rPr>
          <w:rFonts w:ascii="Arial" w:hAnsi="Arial" w:cs="Arial"/>
        </w:rPr>
        <w:t>Большемуртинский</w:t>
      </w:r>
      <w:proofErr w:type="spellEnd"/>
      <w:r w:rsidRPr="00F215F0">
        <w:rPr>
          <w:rFonts w:ascii="Arial" w:hAnsi="Arial" w:cs="Arial"/>
        </w:rPr>
        <w:t xml:space="preserve"> район, </w:t>
      </w:r>
      <w:r w:rsidR="00021E93" w:rsidRPr="00021E93">
        <w:rPr>
          <w:rFonts w:ascii="Arial" w:hAnsi="Arial" w:cs="Arial"/>
        </w:rPr>
        <w:t>п. Раздольное, ул. Центральная,18.</w:t>
      </w:r>
      <w:proofErr w:type="gramEnd"/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Телефон: 8(39198) </w:t>
      </w:r>
      <w:r w:rsidR="00021E93">
        <w:rPr>
          <w:rFonts w:ascii="Arial" w:hAnsi="Arial" w:cs="Arial"/>
        </w:rPr>
        <w:t>28-5-19</w:t>
      </w:r>
      <w:r w:rsidRPr="00F215F0">
        <w:rPr>
          <w:rFonts w:ascii="Arial" w:hAnsi="Arial" w:cs="Arial"/>
        </w:rPr>
        <w:t>.</w:t>
      </w:r>
    </w:p>
    <w:p w:rsidR="00F215F0" w:rsidRPr="00021E93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r w:rsidR="00021E93" w:rsidRPr="00021E93">
        <w:t xml:space="preserve"> </w:t>
      </w:r>
      <w:proofErr w:type="spellStart"/>
      <w:r w:rsidR="00021E93" w:rsidRPr="00021E93">
        <w:rPr>
          <w:rFonts w:ascii="Arial" w:hAnsi="Arial" w:cs="Arial"/>
          <w:lang w:val="en-US"/>
        </w:rPr>
        <w:t>razdolnoe</w:t>
      </w:r>
      <w:proofErr w:type="spellEnd"/>
      <w:r w:rsidR="00021E93" w:rsidRPr="00021E93">
        <w:rPr>
          <w:rFonts w:ascii="Arial" w:hAnsi="Arial" w:cs="Arial"/>
        </w:rPr>
        <w:t>_</w:t>
      </w:r>
      <w:proofErr w:type="spellStart"/>
      <w:r w:rsidR="00021E93" w:rsidRPr="00021E93">
        <w:rPr>
          <w:rFonts w:ascii="Arial" w:hAnsi="Arial" w:cs="Arial"/>
          <w:lang w:val="en-US"/>
        </w:rPr>
        <w:t>adm</w:t>
      </w:r>
      <w:proofErr w:type="spellEnd"/>
      <w:r w:rsidR="00021E93" w:rsidRPr="00021E93">
        <w:rPr>
          <w:rFonts w:ascii="Arial" w:hAnsi="Arial" w:cs="Arial"/>
        </w:rPr>
        <w:t>@</w:t>
      </w:r>
      <w:proofErr w:type="spellStart"/>
      <w:r w:rsidR="00021E93" w:rsidRPr="00021E93">
        <w:rPr>
          <w:rFonts w:ascii="Arial" w:hAnsi="Arial" w:cs="Arial"/>
          <w:lang w:val="en-US"/>
        </w:rPr>
        <w:t>maill</w:t>
      </w:r>
      <w:proofErr w:type="spellEnd"/>
      <w:r w:rsidR="00021E93" w:rsidRPr="00021E93">
        <w:rPr>
          <w:rFonts w:ascii="Arial" w:hAnsi="Arial" w:cs="Arial"/>
        </w:rPr>
        <w:t>.</w:t>
      </w:r>
      <w:proofErr w:type="spellStart"/>
      <w:r w:rsidR="00021E93" w:rsidRPr="00021E93">
        <w:rPr>
          <w:rFonts w:ascii="Arial" w:hAnsi="Arial" w:cs="Arial"/>
          <w:lang w:val="en-US"/>
        </w:rPr>
        <w:t>ru</w:t>
      </w:r>
      <w:proofErr w:type="spellEnd"/>
      <w:r w:rsidR="00021E93" w:rsidRPr="00021E93">
        <w:rPr>
          <w:rFonts w:ascii="Arial" w:hAnsi="Arial" w:cs="Arial"/>
        </w:rPr>
        <w:t>.</w:t>
      </w:r>
    </w:p>
    <w:p w:rsidR="00CC4858" w:rsidRDefault="00F215F0" w:rsidP="00021E9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021E93" w:rsidRPr="00021E93">
        <w:rPr>
          <w:rFonts w:ascii="Arial" w:hAnsi="Arial" w:cs="Arial"/>
        </w:rPr>
        <w:t>ежедневно с 8.00 до 17.00, перерыв на обед с 12.00 до 14.00. Выходные дни – суббота, воскресенье.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lastRenderedPageBreak/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 xml:space="preserve">Уставом </w:t>
      </w:r>
      <w:r w:rsidR="00764508">
        <w:rPr>
          <w:rFonts w:ascii="Arial" w:hAnsi="Arial" w:cs="Arial"/>
        </w:rPr>
        <w:t>Раздольненского</w:t>
      </w:r>
      <w:r w:rsidR="00CC4858" w:rsidRPr="00CC4858">
        <w:rPr>
          <w:rFonts w:ascii="Arial" w:hAnsi="Arial" w:cs="Arial"/>
        </w:rPr>
        <w:t xml:space="preserve">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  <w:r w:rsidR="00661706">
        <w:rPr>
          <w:rFonts w:ascii="Arial" w:hAnsi="Arial" w:cs="Arial"/>
        </w:rPr>
        <w:t xml:space="preserve">         </w:t>
      </w:r>
      <w:r w:rsidR="00C64F58">
        <w:rPr>
          <w:rFonts w:ascii="Arial" w:hAnsi="Arial" w:cs="Arial"/>
        </w:rPr>
        <w:t xml:space="preserve"> 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</w:t>
      </w:r>
      <w:r w:rsidRPr="00DE7A8A">
        <w:rPr>
          <w:rFonts w:ascii="Arial" w:hAnsi="Arial" w:cs="Arial"/>
        </w:rPr>
        <w:lastRenderedPageBreak/>
        <w:t>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E7A8A">
        <w:rPr>
          <w:rFonts w:ascii="Arial" w:hAnsi="Arial" w:cs="Arial"/>
        </w:rPr>
        <w:t>д</w:t>
      </w:r>
      <w:proofErr w:type="spellEnd"/>
      <w:r w:rsidRPr="00DE7A8A">
        <w:rPr>
          <w:rFonts w:ascii="Arial" w:hAnsi="Arial" w:cs="Arial"/>
        </w:rPr>
        <w:t xml:space="preserve">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DE7A8A">
        <w:rPr>
          <w:rFonts w:ascii="Arial" w:hAnsi="Arial" w:cs="Arial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DE7A8A">
        <w:rPr>
          <w:rFonts w:ascii="Arial" w:eastAsia="Calibri" w:hAnsi="Arial" w:cs="Arial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DE7A8A">
        <w:rPr>
          <w:rFonts w:ascii="Arial" w:hAnsi="Arial" w:cs="Arial"/>
          <w:sz w:val="24"/>
          <w:szCs w:val="24"/>
        </w:rPr>
        <w:t>о-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25" w:rsidRDefault="00544F25">
      <w:r>
        <w:separator/>
      </w:r>
    </w:p>
  </w:endnote>
  <w:endnote w:type="continuationSeparator" w:id="0">
    <w:p w:rsidR="00544F25" w:rsidRDefault="0054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25" w:rsidRDefault="00544F25">
      <w:r>
        <w:separator/>
      </w:r>
    </w:p>
  </w:footnote>
  <w:footnote w:type="continuationSeparator" w:id="0">
    <w:p w:rsidR="00544F25" w:rsidRDefault="00544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DC" w:rsidRDefault="005C07DC">
    <w:pPr>
      <w:pStyle w:val="a6"/>
      <w:jc w:val="right"/>
    </w:pPr>
  </w:p>
  <w:p w:rsidR="005C07DC" w:rsidRDefault="005C07DC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A28"/>
    <w:rsid w:val="00006CD5"/>
    <w:rsid w:val="000151BE"/>
    <w:rsid w:val="00017911"/>
    <w:rsid w:val="00021E93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0A68"/>
    <w:rsid w:val="00122195"/>
    <w:rsid w:val="00123A56"/>
    <w:rsid w:val="0013663B"/>
    <w:rsid w:val="00142802"/>
    <w:rsid w:val="00143B83"/>
    <w:rsid w:val="0015167A"/>
    <w:rsid w:val="00160F78"/>
    <w:rsid w:val="00170F15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0F7C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796"/>
    <w:rsid w:val="00477C4C"/>
    <w:rsid w:val="004841D9"/>
    <w:rsid w:val="00490348"/>
    <w:rsid w:val="004915D4"/>
    <w:rsid w:val="00491C64"/>
    <w:rsid w:val="00492920"/>
    <w:rsid w:val="00495F86"/>
    <w:rsid w:val="004962A2"/>
    <w:rsid w:val="004A0C9F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4F25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43CF"/>
    <w:rsid w:val="005B506C"/>
    <w:rsid w:val="005B5A30"/>
    <w:rsid w:val="005B744C"/>
    <w:rsid w:val="005B7D97"/>
    <w:rsid w:val="005B7FC7"/>
    <w:rsid w:val="005C07DC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1706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1E4D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64508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CCC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2B2C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82CF0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64F58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5769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69A7-B4B8-4D48-B830-BB1E070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35</Pages>
  <Words>13073</Words>
  <Characters>74520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Раздольное</cp:lastModifiedBy>
  <cp:revision>1</cp:revision>
  <cp:lastPrinted>2019-11-08T08:20:00Z</cp:lastPrinted>
  <dcterms:created xsi:type="dcterms:W3CDTF">2024-06-03T03:00:00Z</dcterms:created>
  <dcterms:modified xsi:type="dcterms:W3CDTF">2024-06-20T03:59:00Z</dcterms:modified>
</cp:coreProperties>
</file>