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AC" w:rsidRDefault="00E718AC" w:rsidP="00E718AC">
      <w:pPr>
        <w:jc w:val="right"/>
        <w:outlineLvl w:val="0"/>
        <w:rPr>
          <w:rFonts w:ascii="Arial" w:hAnsi="Arial" w:cs="Arial"/>
        </w:rPr>
      </w:pPr>
    </w:p>
    <w:p w:rsidR="00D24923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РОССИЙСКАЯ  ФЕДЕРАЦИЯ</w:t>
      </w:r>
    </w:p>
    <w:p w:rsidR="009A67B1" w:rsidRPr="00DE7A8A" w:rsidRDefault="009A67B1" w:rsidP="00D24923">
      <w:pPr>
        <w:jc w:val="center"/>
        <w:outlineLvl w:val="0"/>
        <w:rPr>
          <w:rFonts w:ascii="Arial" w:hAnsi="Arial" w:cs="Arial"/>
        </w:rPr>
      </w:pPr>
    </w:p>
    <w:p w:rsidR="00D24923" w:rsidRPr="00DE7A8A" w:rsidRDefault="00822294" w:rsidP="00D2492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 РОССИЙ</w:t>
      </w:r>
      <w:r w:rsidR="00D24923" w:rsidRPr="00DE7A8A">
        <w:rPr>
          <w:rFonts w:ascii="Arial" w:hAnsi="Arial" w:cs="Arial"/>
        </w:rPr>
        <w:t>СКОГО  СЕЛЬСОВЕТА</w:t>
      </w:r>
      <w:r w:rsidR="00D24923" w:rsidRPr="00DE7A8A">
        <w:rPr>
          <w:rFonts w:ascii="Arial" w:hAnsi="Arial" w:cs="Arial"/>
        </w:rPr>
        <w:br/>
        <w:t>БОЛЬШЕМУРТИНСКОГО РАЙОНА</w:t>
      </w:r>
      <w:r w:rsidR="00D24923" w:rsidRPr="00DE7A8A">
        <w:rPr>
          <w:rFonts w:ascii="Arial" w:hAnsi="Arial" w:cs="Arial"/>
        </w:rPr>
        <w:br/>
        <w:t>КРАСНОЯРСКОГО КРАЯ</w:t>
      </w:r>
    </w:p>
    <w:p w:rsidR="00D24923" w:rsidRPr="00DE7A8A" w:rsidRDefault="00D24923" w:rsidP="00D24923">
      <w:pPr>
        <w:jc w:val="both"/>
        <w:outlineLvl w:val="0"/>
        <w:rPr>
          <w:rFonts w:ascii="Arial" w:hAnsi="Arial" w:cs="Arial"/>
        </w:rPr>
      </w:pPr>
    </w:p>
    <w:p w:rsidR="00D24923" w:rsidRPr="00DE7A8A" w:rsidRDefault="00D24923" w:rsidP="00D24923">
      <w:pPr>
        <w:keepNext/>
        <w:spacing w:after="20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 О С Т А Н О В Л Е Н И Е</w:t>
      </w:r>
    </w:p>
    <w:p w:rsidR="00D24923" w:rsidRPr="00DE7A8A" w:rsidRDefault="009A67B1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01.08. 2024  г.</w:t>
      </w:r>
      <w:r w:rsidR="00CC4858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</w:t>
      </w:r>
      <w:r w:rsidR="00CC4858">
        <w:rPr>
          <w:rFonts w:ascii="Arial" w:hAnsi="Arial" w:cs="Arial"/>
        </w:rPr>
        <w:t xml:space="preserve"> </w:t>
      </w:r>
      <w:r w:rsidR="00822294">
        <w:rPr>
          <w:rFonts w:ascii="Arial" w:hAnsi="Arial" w:cs="Arial"/>
        </w:rPr>
        <w:t xml:space="preserve">  с. Российка</w:t>
      </w:r>
      <w:r w:rsidR="00D24923" w:rsidRPr="00DE7A8A">
        <w:rPr>
          <w:rFonts w:ascii="Arial" w:hAnsi="Arial" w:cs="Arial"/>
        </w:rPr>
        <w:t xml:space="preserve">                             </w:t>
      </w:r>
      <w:r w:rsidR="0082229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№   42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E7A8A">
        <w:rPr>
          <w:rFonts w:ascii="Arial" w:hAnsi="Arial" w:cs="Arial"/>
        </w:rPr>
        <w:t>Пос</w:t>
      </w:r>
      <w:r w:rsidR="00822294">
        <w:rPr>
          <w:rFonts w:ascii="Arial" w:hAnsi="Arial" w:cs="Arial"/>
        </w:rPr>
        <w:t>тановлением администрации Российского сельсовета от 14.11.2018 № 40</w:t>
      </w:r>
      <w:r w:rsidRPr="00DE7A8A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r w:rsidR="00822294">
        <w:rPr>
          <w:rFonts w:ascii="Arial" w:hAnsi="Arial" w:cs="Arial"/>
        </w:rPr>
        <w:t>муниципальном образовании Россий</w:t>
      </w:r>
      <w:r w:rsidRPr="00DE7A8A">
        <w:rPr>
          <w:rFonts w:ascii="Arial" w:hAnsi="Arial" w:cs="Arial"/>
        </w:rPr>
        <w:t>ский сельсовет  Большемуртинско</w:t>
      </w:r>
      <w:r w:rsidR="00822294">
        <w:rPr>
          <w:rFonts w:ascii="Arial" w:hAnsi="Arial" w:cs="Arial"/>
        </w:rPr>
        <w:t>го района  Красноярского края», руководствуясь Уставом Россий</w:t>
      </w:r>
      <w:r w:rsidRPr="00DE7A8A">
        <w:rPr>
          <w:rFonts w:ascii="Arial" w:hAnsi="Arial" w:cs="Arial"/>
        </w:rPr>
        <w:t>ского сельсовета Большемуртинского района Красноярского края, ПОСТАНОВЛЯЮ: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>о</w:t>
      </w:r>
      <w:r w:rsidR="00822294">
        <w:rPr>
          <w:rFonts w:ascii="Arial" w:hAnsi="Arial" w:cs="Arial"/>
        </w:rPr>
        <w:t>становления администрации Россий</w:t>
      </w:r>
      <w:r w:rsidRPr="00DE7A8A">
        <w:rPr>
          <w:rFonts w:ascii="Arial" w:hAnsi="Arial" w:cs="Arial"/>
        </w:rPr>
        <w:t>ского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822294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18</w:t>
      </w:r>
      <w:r w:rsidR="00D24923" w:rsidRPr="00DE7A8A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.201</w:t>
      </w:r>
      <w:r>
        <w:rPr>
          <w:rFonts w:ascii="Arial" w:hAnsi="Arial" w:cs="Arial"/>
        </w:rPr>
        <w:t>9 г. № 2</w:t>
      </w:r>
      <w:r w:rsidR="00DE7A8A" w:rsidRPr="00DE7A8A">
        <w:rPr>
          <w:rFonts w:ascii="Arial" w:hAnsi="Arial" w:cs="Arial"/>
        </w:rPr>
        <w:t>2</w:t>
      </w:r>
      <w:r w:rsidR="00D24923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="00DE7A8A" w:rsidRPr="00DE7A8A">
        <w:rPr>
          <w:rFonts w:ascii="Arial" w:hAnsi="Arial" w:cs="Arial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822294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10</w:t>
      </w:r>
      <w:r w:rsidR="00D24923"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2.2020</w:t>
      </w:r>
      <w:r>
        <w:rPr>
          <w:rFonts w:ascii="Arial" w:hAnsi="Arial" w:cs="Arial"/>
        </w:rPr>
        <w:t xml:space="preserve"> № 4</w:t>
      </w:r>
      <w:r w:rsidR="00D24923"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</w:rPr>
        <w:t>О внесении изменений в По</w:t>
      </w:r>
      <w:r>
        <w:rPr>
          <w:rFonts w:ascii="Arial" w:hAnsi="Arial" w:cs="Arial"/>
        </w:rPr>
        <w:t>становление администрации Российского сельсовета от 18.03</w:t>
      </w:r>
      <w:r w:rsidR="00DE7A8A" w:rsidRPr="00DE7A8A">
        <w:rPr>
          <w:rFonts w:ascii="Arial" w:hAnsi="Arial" w:cs="Arial"/>
        </w:rPr>
        <w:t>.2019</w:t>
      </w:r>
      <w:r>
        <w:rPr>
          <w:rFonts w:ascii="Arial" w:hAnsi="Arial" w:cs="Arial"/>
        </w:rPr>
        <w:t xml:space="preserve"> г. № 2</w:t>
      </w:r>
      <w:r w:rsidR="00DE7A8A" w:rsidRPr="00DE7A8A">
        <w:rPr>
          <w:rFonts w:ascii="Arial" w:hAnsi="Arial" w:cs="Arial"/>
        </w:rPr>
        <w:t>2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</w:p>
    <w:p w:rsidR="00DE7A8A" w:rsidRPr="00DE7A8A" w:rsidRDefault="00822294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15</w:t>
      </w:r>
      <w:r w:rsidR="00DE7A8A" w:rsidRPr="00DE7A8A">
        <w:rPr>
          <w:rFonts w:ascii="Arial" w:hAnsi="Arial" w:cs="Arial"/>
        </w:rPr>
        <w:t>.04.2024 №</w:t>
      </w:r>
      <w:r w:rsidR="0049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="00DE7A8A"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  <w:shd w:val="clear" w:color="auto" w:fill="FFFFFF"/>
        </w:rPr>
        <w:t>О внесении изменений в По</w:t>
      </w:r>
      <w:r>
        <w:rPr>
          <w:rFonts w:ascii="Arial" w:hAnsi="Arial" w:cs="Arial"/>
          <w:shd w:val="clear" w:color="auto" w:fill="FFFFFF"/>
        </w:rPr>
        <w:t>становление администрации Российского сельсовета от 18.03.2019 № 2</w:t>
      </w:r>
      <w:r w:rsidR="00DE7A8A" w:rsidRPr="00DE7A8A">
        <w:rPr>
          <w:rFonts w:ascii="Arial" w:hAnsi="Arial" w:cs="Arial"/>
          <w:shd w:val="clear" w:color="auto" w:fill="FFFFFF"/>
        </w:rPr>
        <w:t>2 «</w:t>
      </w:r>
      <w:r w:rsidR="00DE7A8A" w:rsidRPr="00DE7A8A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r w:rsidR="00491C64" w:rsidRPr="00491C6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(в редакции от 10.02.2020 № 4</w:t>
      </w:r>
      <w:r w:rsidR="00491C64" w:rsidRPr="00B27CDB">
        <w:rPr>
          <w:rFonts w:ascii="Arial" w:hAnsi="Arial" w:cs="Arial"/>
          <w:bCs/>
          <w:color w:val="000000"/>
        </w:rPr>
        <w:t>)</w:t>
      </w:r>
      <w:r w:rsidR="00DE7A8A" w:rsidRPr="00DE7A8A">
        <w:rPr>
          <w:rFonts w:ascii="Arial" w:hAnsi="Arial" w:cs="Arial"/>
          <w:bCs/>
          <w:color w:val="000000"/>
        </w:rPr>
        <w:t>».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Глава сельсовета:                                                         </w:t>
      </w:r>
      <w:r w:rsidR="00D51B0B">
        <w:rPr>
          <w:rFonts w:ascii="Arial" w:hAnsi="Arial" w:cs="Arial"/>
        </w:rPr>
        <w:t xml:space="preserve">                          Ф.В. Борисен</w:t>
      </w:r>
      <w:r w:rsidR="00DE7A8A" w:rsidRPr="00DE7A8A">
        <w:rPr>
          <w:rFonts w:ascii="Arial" w:hAnsi="Arial" w:cs="Arial"/>
        </w:rPr>
        <w:t>ко</w:t>
      </w: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Приложение к постановлению                                           </w:t>
      </w:r>
      <w:r w:rsidR="00D51B0B">
        <w:rPr>
          <w:rFonts w:ascii="Arial" w:hAnsi="Arial" w:cs="Arial"/>
        </w:rPr>
        <w:t xml:space="preserve">                  администрации Россий</w:t>
      </w:r>
      <w:r w:rsidR="00DE7A8A">
        <w:rPr>
          <w:rFonts w:ascii="Arial" w:hAnsi="Arial" w:cs="Arial"/>
        </w:rPr>
        <w:t>ского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9A67B1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 01.08. 2024 № 42</w:t>
      </w:r>
      <w:r w:rsidR="00FC6FFA" w:rsidRPr="00DE7A8A">
        <w:rPr>
          <w:rFonts w:ascii="Arial" w:hAnsi="Arial" w:cs="Arial"/>
        </w:rPr>
        <w:t xml:space="preserve"> </w:t>
      </w:r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DE7A8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Общие положения</w:t>
      </w:r>
    </w:p>
    <w:p w:rsidR="00E27A28" w:rsidRPr="00DE7A8A" w:rsidRDefault="00E27A28" w:rsidP="00E27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>Информация о мест</w:t>
      </w:r>
      <w:r w:rsidR="00D51B0B">
        <w:rPr>
          <w:rFonts w:ascii="Arial" w:hAnsi="Arial" w:cs="Arial"/>
        </w:rPr>
        <w:t>онахождении администрации Россий</w:t>
      </w:r>
      <w:r w:rsidR="00F215F0" w:rsidRPr="00F215F0">
        <w:rPr>
          <w:rFonts w:ascii="Arial" w:hAnsi="Arial" w:cs="Arial"/>
        </w:rPr>
        <w:t>ского сельсовета Большемуртинского района Красноярского края (далее – Администрация):</w:t>
      </w:r>
    </w:p>
    <w:p w:rsidR="00D51B0B" w:rsidRPr="00811082" w:rsidRDefault="00D51B0B" w:rsidP="00D51B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1082">
        <w:rPr>
          <w:rFonts w:ascii="Arial" w:hAnsi="Arial" w:cs="Arial"/>
        </w:rPr>
        <w:t>Адрес:  663064, Красноярский  край, Большемуртинский район, село Российка,        ул. Молодёжная, 13</w:t>
      </w:r>
    </w:p>
    <w:p w:rsidR="00D51B0B" w:rsidRPr="00811082" w:rsidRDefault="00D51B0B" w:rsidP="00D51B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1082">
        <w:rPr>
          <w:rFonts w:ascii="Arial" w:hAnsi="Arial" w:cs="Arial"/>
        </w:rPr>
        <w:t>Телефон: 8(39198) 26-3-24.</w:t>
      </w:r>
    </w:p>
    <w:p w:rsidR="00D51B0B" w:rsidRPr="00811082" w:rsidRDefault="00D51B0B" w:rsidP="00D51B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1082">
        <w:rPr>
          <w:rFonts w:ascii="Arial" w:hAnsi="Arial" w:cs="Arial"/>
        </w:rPr>
        <w:t xml:space="preserve">Адрес электронной почты:  </w:t>
      </w:r>
      <w:hyperlink r:id="rId8" w:history="1">
        <w:r w:rsidRPr="00811082">
          <w:rPr>
            <w:rStyle w:val="a3"/>
            <w:rFonts w:ascii="Arial" w:hAnsi="Arial" w:cs="Arial"/>
            <w:lang w:val="en-US"/>
          </w:rPr>
          <w:t>rossadm</w:t>
        </w:r>
        <w:r w:rsidRPr="00811082">
          <w:rPr>
            <w:rStyle w:val="a3"/>
            <w:rFonts w:ascii="Arial" w:hAnsi="Arial" w:cs="Arial"/>
          </w:rPr>
          <w:t>@</w:t>
        </w:r>
        <w:r w:rsidRPr="00811082">
          <w:rPr>
            <w:rStyle w:val="a3"/>
            <w:rFonts w:ascii="Arial" w:hAnsi="Arial" w:cs="Arial"/>
            <w:lang w:val="en-US"/>
          </w:rPr>
          <w:t>krasmail</w:t>
        </w:r>
        <w:r w:rsidRPr="00811082">
          <w:rPr>
            <w:rStyle w:val="a3"/>
            <w:rFonts w:ascii="Arial" w:hAnsi="Arial" w:cs="Arial"/>
          </w:rPr>
          <w:t>.</w:t>
        </w:r>
        <w:r w:rsidRPr="00811082">
          <w:rPr>
            <w:rStyle w:val="a3"/>
            <w:rFonts w:ascii="Arial" w:hAnsi="Arial" w:cs="Arial"/>
            <w:lang w:val="en-US"/>
          </w:rPr>
          <w:t>ru</w:t>
        </w:r>
      </w:hyperlink>
    </w:p>
    <w:p w:rsidR="00D51B0B" w:rsidRPr="00811082" w:rsidRDefault="00D51B0B" w:rsidP="00D51B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811082">
        <w:rPr>
          <w:rFonts w:ascii="Arial" w:hAnsi="Arial" w:cs="Arial"/>
        </w:rPr>
        <w:t xml:space="preserve">График работы: </w:t>
      </w:r>
      <w:r w:rsidRPr="00811082">
        <w:rPr>
          <w:rFonts w:ascii="Arial" w:hAnsi="Arial" w:cs="Arial"/>
          <w:bCs/>
        </w:rPr>
        <w:t>понедельник - четверг с 9.00 до 17.15, перерыв на обед с 13.00 до 14.00;  пятница - с 9.00 до 17.00, перерыв на обед с 13.00 до 14.00; выходные дни - суббота, воскресенье</w:t>
      </w:r>
      <w:r w:rsidRPr="00811082">
        <w:rPr>
          <w:rFonts w:ascii="Arial" w:hAnsi="Arial" w:cs="Arial"/>
        </w:rPr>
        <w:t>.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lastRenderedPageBreak/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9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 или МФЦ.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посредством получения на электронную почту Администрации уведомления о прочтении заявителем письма, содержащего результат предоставления </w:t>
      </w:r>
      <w:r w:rsidRPr="00DE7A8A">
        <w:rPr>
          <w:rFonts w:ascii="Arial" w:hAnsi="Arial" w:cs="Arial"/>
        </w:rPr>
        <w:lastRenderedPageBreak/>
        <w:t>муниципальной услуги (в случае если результат направляется на адрес электронной почты заявителя, указанный в заявлении.</w:t>
      </w:r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10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D51B0B">
        <w:rPr>
          <w:rFonts w:ascii="Arial" w:hAnsi="Arial" w:cs="Arial"/>
        </w:rPr>
        <w:t>Уставом Россий</w:t>
      </w:r>
      <w:r w:rsidR="00CC4858" w:rsidRPr="00CC4858">
        <w:rPr>
          <w:rFonts w:ascii="Arial" w:hAnsi="Arial" w:cs="Arial"/>
        </w:rPr>
        <w:t>ского сельсовета Большемуртинского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</w:t>
      </w:r>
      <w:r w:rsidRPr="00DE7A8A">
        <w:rPr>
          <w:rFonts w:ascii="Arial" w:hAnsi="Arial" w:cs="Arial"/>
        </w:rPr>
        <w:lastRenderedPageBreak/>
        <w:t>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xls, xlsx, ods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zip, rar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sig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 Заявитель вправе 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если в заявлении не указаны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>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2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</w:t>
      </w:r>
      <w:r w:rsidRPr="00DE7A8A">
        <w:rPr>
          <w:rFonts w:ascii="Arial" w:hAnsi="Arial" w:cs="Arial"/>
          <w:color w:val="000000"/>
          <w:kern w:val="28"/>
        </w:rPr>
        <w:lastRenderedPageBreak/>
        <w:t xml:space="preserve">и выдаваемого по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4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идентификации и аутентификации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без потери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E85604" w:rsidRPr="00DE7A8A" w:rsidRDefault="00595B7A" w:rsidP="00E85604">
      <w:pPr>
        <w:ind w:firstLine="851"/>
        <w:jc w:val="center"/>
        <w:rPr>
          <w:rFonts w:ascii="Arial" w:hAnsi="Arial" w:cs="Arial"/>
          <w:lang w:eastAsia="hi-IN" w:bidi="hi-IN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DE7A8A" w:rsidRDefault="002D377F" w:rsidP="00595B7A">
      <w:pPr>
        <w:pStyle w:val="af2"/>
        <w:ind w:left="360"/>
        <w:jc w:val="center"/>
        <w:rPr>
          <w:rFonts w:ascii="Arial" w:hAnsi="Arial" w:cs="Arial"/>
        </w:rPr>
      </w:pP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</w:t>
      </w:r>
      <w:r w:rsidR="0055135C" w:rsidRPr="00DE7A8A">
        <w:rPr>
          <w:rFonts w:ascii="Arial" w:hAnsi="Arial" w:cs="Arial"/>
          <w:color w:val="000000"/>
        </w:rPr>
        <w:lastRenderedPageBreak/>
        <w:t xml:space="preserve">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>3.7.5.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 xml:space="preserve">) пункта 2.6 настоящего Регламента, и (или) иных работ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>венной регистрации 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</w:t>
      </w:r>
      <w:r w:rsidR="0055135C" w:rsidRPr="00DE7A8A">
        <w:rPr>
          <w:rFonts w:ascii="Arial" w:hAnsi="Arial" w:cs="Arial"/>
          <w:color w:val="000000"/>
        </w:rPr>
        <w:lastRenderedPageBreak/>
        <w:t>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5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 xml:space="preserve">. Порядок исправления допущенных опечаток и ошибок в выданных в результате предоставления муниципальной услуги документах, в том числе </w:t>
      </w:r>
      <w:r w:rsidR="00F741AA" w:rsidRPr="00DE7A8A">
        <w:rPr>
          <w:rFonts w:ascii="Arial" w:hAnsi="Arial" w:cs="Arial"/>
        </w:rPr>
        <w:lastRenderedPageBreak/>
        <w:t>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об оставлении заявления о выдаче Решения без рассмотрения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</w:t>
      </w:r>
      <w:r w:rsidRPr="00DE7A8A">
        <w:rPr>
          <w:rFonts w:ascii="Arial" w:hAnsi="Arial" w:cs="Arial"/>
        </w:rPr>
        <w:lastRenderedPageBreak/>
        <w:t>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4. Формы контроля  за исполнением административного регламента</w:t>
      </w:r>
    </w:p>
    <w:p w:rsidR="00E27A28" w:rsidRPr="00DE7A8A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контроль за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4.2.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4.4. 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 xml:space="preserve">Администрации с просьбой о проведении проверки соблюдения и </w:t>
      </w:r>
      <w:r w:rsidRPr="00DE7A8A">
        <w:rPr>
          <w:rFonts w:ascii="Arial" w:hAnsi="Arial" w:cs="Arial"/>
        </w:rPr>
        <w:lastRenderedPageBreak/>
        <w:t>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Обращение, поступившее в Администрацию, рассматривается в течение 30 дней со дня его регистрации. 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756CC2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756CC2">
      <w:pPr>
        <w:pStyle w:val="ConsPlusNormal"/>
        <w:spacing w:before="220"/>
        <w:jc w:val="both"/>
        <w:rPr>
          <w:sz w:val="24"/>
          <w:szCs w:val="24"/>
        </w:rPr>
      </w:pPr>
      <w:bookmarkStart w:id="0" w:name="P51"/>
      <w:bookmarkEnd w:id="0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6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DE7A8A">
        <w:rPr>
          <w:sz w:val="24"/>
          <w:szCs w:val="24"/>
        </w:rPr>
        <w:lastRenderedPageBreak/>
        <w:t xml:space="preserve">приеме заявителя. Жалоба на решения и действия (бездействие) организаций,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4" w:name="P72"/>
      <w:bookmarkEnd w:id="4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8" w:name="P82"/>
      <w:bookmarkEnd w:id="8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>, либо 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1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5.7. 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5.9.1.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DE7A8A">
        <w:rPr>
          <w:bCs/>
          <w:sz w:val="24"/>
          <w:szCs w:val="24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5.9.4. В случае признания жалобы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Pr="00DE7A8A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ФОРМА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ЗАЯВЛЕНИЯ О ПЕРЕВОДЕ  ЖИЛОГО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(указывается полный адрес: субъект Российской Федерации,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муниципальное образование, поселение, улица, дом, корпус, строение, квартира (комната), подъезд, этаж)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(перевести жилое помещение в нежилое помещение; нежилое помещение в жилое помещение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занимаемого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по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ремонтно- строительных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помещения(в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ФОРМА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УВЕДОМЛЕНИЯ О ПЕРЕВОДЕ (ОТКАЗЕ В ПЕРЕВОДЕ) ЖИЛОГО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(почтовый индекс и адрес заявителя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жилого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>из жилого (нежилого) в нежилое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 (________________________________________________________________):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условии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(нежилого) в нежилое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(основание(я),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D64020" w:rsidRPr="00DE7A8A" w:rsidRDefault="00D6402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З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в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</w:t>
      </w:r>
      <w:r w:rsidR="009A67B1">
        <w:rPr>
          <w:rFonts w:ascii="Arial" w:hAnsi="Arial" w:cs="Arial"/>
        </w:rPr>
        <w:t>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9A67B1" w:rsidRDefault="009A67B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r w:rsidRPr="00DE7A8A">
        <w:rPr>
          <w:rFonts w:ascii="Arial" w:eastAsia="Arial" w:hAnsi="Arial" w:cs="Arial"/>
        </w:rPr>
        <w:t>от ________ № _____________  (дата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C46F04" w:rsidRPr="00DE7A8A" w:rsidRDefault="00C46F04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>Прошу оставить заявление о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</w:t>
      </w:r>
      <w:r w:rsidR="009A67B1">
        <w:rPr>
          <w:rFonts w:ascii="Arial" w:hAnsi="Arial" w:cs="Arial"/>
        </w:rPr>
        <w:t>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050881" w:rsidRPr="00DE7A8A" w:rsidRDefault="0005088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9A67B1" w:rsidRDefault="009A67B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о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bookmarkStart w:id="10" w:name="_GoBack"/>
      <w:bookmarkEnd w:id="10"/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113A">
      <w:headerReference w:type="default" r:id="rId2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1CE" w:rsidRDefault="003F61CE">
      <w:r>
        <w:separator/>
      </w:r>
    </w:p>
  </w:endnote>
  <w:endnote w:type="continuationSeparator" w:id="1">
    <w:p w:rsidR="003F61CE" w:rsidRDefault="003F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1CE" w:rsidRDefault="003F61CE">
      <w:r>
        <w:separator/>
      </w:r>
    </w:p>
  </w:footnote>
  <w:footnote w:type="continuationSeparator" w:id="1">
    <w:p w:rsidR="003F61CE" w:rsidRDefault="003F6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B1" w:rsidRDefault="009A67B1">
    <w:pPr>
      <w:pStyle w:val="a6"/>
      <w:jc w:val="right"/>
    </w:pPr>
  </w:p>
  <w:p w:rsidR="009A67B1" w:rsidRDefault="009A67B1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3F61CE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6C49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22294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8F6373"/>
    <w:rsid w:val="00905570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A67B1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B31D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1B0B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2946"/>
    <w:rsid w:val="00F43F3D"/>
    <w:rsid w:val="00F64158"/>
    <w:rsid w:val="00F64EE4"/>
    <w:rsid w:val="00F70068"/>
    <w:rsid w:val="00F741AA"/>
    <w:rsid w:val="00F764C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adm@krasmail.ru" TargetMode="Externa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305980B79A8F8A6789198CEA239B1AE446C7C1389CAEDDA19A678613C407D5FECF497B7D4FE8B847cE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55777;fld=134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2" Type="http://schemas.openxmlformats.org/officeDocument/2006/relationships/hyperlink" Target="consultantplus://offline/ref=FF46DAD8A9122C04FB06CB9681CBC48C820DBB9552DFD01C202E1AC0FDCE08EBD29D9E1F5E5E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C6A-FC43-4C2D-92A5-5F1FB7B1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35</Pages>
  <Words>13083</Words>
  <Characters>74579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Маргарита</cp:lastModifiedBy>
  <cp:revision>24</cp:revision>
  <cp:lastPrinted>2024-08-14T04:00:00Z</cp:lastPrinted>
  <dcterms:created xsi:type="dcterms:W3CDTF">2024-06-03T03:00:00Z</dcterms:created>
  <dcterms:modified xsi:type="dcterms:W3CDTF">2024-08-14T04:44:00Z</dcterms:modified>
</cp:coreProperties>
</file>