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20" w:val="left"/>
        </w:tabs>
        <w:spacing w:line="300" w:lineRule="atLeast"/>
        <w:ind w:firstLine="567" w:left="0"/>
        <w:jc w:val="center"/>
        <w:rPr>
          <w:sz w:val="28"/>
        </w:rPr>
      </w:pPr>
    </w:p>
    <w:p w14:paraId="02000000">
      <w:pPr>
        <w:tabs>
          <w:tab w:leader="none" w:pos="720" w:val="left"/>
        </w:tabs>
        <w:spacing w:line="300" w:lineRule="atLeast"/>
        <w:ind w:firstLine="567" w:left="0"/>
        <w:jc w:val="both"/>
        <w:rPr>
          <w:sz w:val="28"/>
        </w:rPr>
      </w:pPr>
    </w:p>
    <w:p w14:paraId="03000000">
      <w:pPr>
        <w:tabs>
          <w:tab w:leader="none" w:pos="720" w:val="left"/>
        </w:tabs>
        <w:spacing w:line="300" w:lineRule="atLeast"/>
        <w:ind w:firstLine="567" w:left="0"/>
        <w:jc w:val="both"/>
        <w:rPr>
          <w:sz w:val="28"/>
        </w:rPr>
      </w:pPr>
      <w:r>
        <w:rPr>
          <w:sz w:val="28"/>
        </w:rPr>
        <w:t xml:space="preserve">Право прокурора на обращение в суд с заявлением в интересах граждан по защите нарушенных прав, свобод и законных интересов в сфере социального и пенсионного обеспечения предусмотрено статьей 45 ГПК РФ. </w:t>
      </w:r>
    </w:p>
    <w:p w14:paraId="04000000">
      <w:pPr>
        <w:tabs>
          <w:tab w:leader="none" w:pos="720" w:val="left"/>
        </w:tabs>
        <w:spacing w:line="300" w:lineRule="atLeast"/>
        <w:ind w:firstLine="567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соответствии с </w:t>
      </w:r>
      <w:r>
        <w:rPr>
          <w:sz w:val="28"/>
        </w:rPr>
        <w:t>указанной нормой</w:t>
      </w:r>
      <w:r>
        <w:rPr>
          <w:sz w:val="28"/>
        </w:rPr>
        <w:t xml:space="preserve"> прокурор вправе обратиться в суд с заявлением в защиту прав, свобод и законных интересов граждан в случае, если гражданин по состоянию здоровья, возрасту, недееспособности и другим уважительным причинам не может сам обратиться в суд.</w:t>
      </w:r>
    </w:p>
    <w:p w14:paraId="05000000">
      <w:pPr>
        <w:tabs>
          <w:tab w:leader="none" w:pos="720" w:val="left"/>
        </w:tabs>
        <w:ind w:firstLine="567" w:left="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>казанное ограничение не распространяется на исковые заявления прокурора, поданные им в защиту нарушенных или оспариваемых социальных прав граждан, в том числе и прав на пенсионное обеспечение.</w:t>
      </w:r>
    </w:p>
    <w:p w14:paraId="06000000">
      <w:pPr>
        <w:tabs>
          <w:tab w:leader="none" w:pos="720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Так, наиболее часто органы прокуратуры обращаются в суды за защитой пенсионных прав граждан в связи с </w:t>
      </w:r>
      <w:r>
        <w:rPr>
          <w:sz w:val="28"/>
        </w:rPr>
        <w:t xml:space="preserve">установлением незаконных отказов назначении досрочной страховой пенсии, включении периодов работы в стаж, </w:t>
      </w:r>
      <w:r>
        <w:rPr>
          <w:sz w:val="28"/>
        </w:rPr>
        <w:t xml:space="preserve">решений о прекращении гражданам выплат социальной пенсии, в том числе по потере кормильца, компенсации расходов пенсионерам на проезд к месту отдыха и </w:t>
      </w:r>
      <w:r>
        <w:rPr>
          <w:sz w:val="28"/>
        </w:rPr>
        <w:t>обратно</w:t>
      </w:r>
      <w:r>
        <w:rPr>
          <w:sz w:val="28"/>
        </w:rPr>
        <w:t xml:space="preserve">. </w:t>
      </w:r>
    </w:p>
    <w:p w14:paraId="07000000">
      <w:pPr>
        <w:tabs>
          <w:tab w:leader="none" w:pos="720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К примеру, при удовлетворении </w:t>
      </w:r>
      <w:r>
        <w:rPr>
          <w:sz w:val="28"/>
        </w:rPr>
        <w:t>исковы</w:t>
      </w:r>
      <w:r>
        <w:rPr>
          <w:sz w:val="28"/>
        </w:rPr>
        <w:t>х</w:t>
      </w:r>
      <w:r>
        <w:rPr>
          <w:sz w:val="28"/>
        </w:rPr>
        <w:t xml:space="preserve"> требовани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о признании права на получение досрочной пенсии </w:t>
      </w:r>
      <w:r>
        <w:rPr>
          <w:sz w:val="28"/>
        </w:rPr>
        <w:t>на пенсионны</w:t>
      </w:r>
      <w:r>
        <w:rPr>
          <w:sz w:val="28"/>
        </w:rPr>
        <w:t>й</w:t>
      </w:r>
      <w:r>
        <w:rPr>
          <w:sz w:val="28"/>
        </w:rPr>
        <w:t xml:space="preserve"> орган возлагается обязанность произвести перерасчёт пенсионных выплат со дня обращения гражданина с заявлением о назначении пенсии.</w:t>
      </w:r>
    </w:p>
    <w:p w14:paraId="08000000">
      <w:pPr>
        <w:tabs>
          <w:tab w:leader="none" w:pos="720" w:val="left"/>
        </w:tabs>
        <w:spacing w:line="300" w:lineRule="atLeast"/>
        <w:ind w:firstLine="567" w:left="0"/>
        <w:jc w:val="both"/>
        <w:rPr>
          <w:sz w:val="28"/>
        </w:rPr>
      </w:pPr>
      <w:r>
        <w:rPr>
          <w:sz w:val="28"/>
        </w:rPr>
        <w:t xml:space="preserve">Прокуроры также заявляют иски </w:t>
      </w:r>
      <w:r>
        <w:rPr>
          <w:sz w:val="28"/>
        </w:rPr>
        <w:t xml:space="preserve">в защиту </w:t>
      </w:r>
      <w:r>
        <w:rPr>
          <w:sz w:val="28"/>
        </w:rPr>
        <w:t xml:space="preserve">социальных </w:t>
      </w:r>
      <w:r>
        <w:rPr>
          <w:sz w:val="28"/>
        </w:rPr>
        <w:t xml:space="preserve">прав граждан с требованиями о </w:t>
      </w:r>
      <w:r>
        <w:rPr>
          <w:sz w:val="28"/>
        </w:rPr>
        <w:t>предоставлении технических средств реабилитации, взыскании их стоимости за самостоятельное приобретение, предоставлени</w:t>
      </w:r>
      <w:r>
        <w:rPr>
          <w:sz w:val="28"/>
        </w:rPr>
        <w:t>и</w:t>
      </w:r>
      <w:r>
        <w:rPr>
          <w:sz w:val="28"/>
        </w:rPr>
        <w:t xml:space="preserve"> льготных лекарственных средств, оспаривании неправомерных отказов в выплате средств краевого материнского (семейного) капитала, предоставлении мер социальной поддержки (выплате адресной социальной помощи, пособи</w:t>
      </w:r>
      <w:r>
        <w:rPr>
          <w:sz w:val="28"/>
        </w:rPr>
        <w:t>й).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tabs>
          <w:tab w:leader="none" w:pos="720" w:val="left"/>
        </w:tabs>
        <w:spacing w:line="300" w:lineRule="atLeast"/>
        <w:ind w:firstLine="567" w:left="0"/>
        <w:jc w:val="both"/>
        <w:rPr>
          <w:sz w:val="28"/>
        </w:rPr>
      </w:pPr>
      <w:r>
        <w:rPr>
          <w:sz w:val="28"/>
        </w:rPr>
        <w:t>По указанной категории дел основанием для обращения прокурора в суд является наличие письменного заявления гражданина</w:t>
      </w:r>
      <w:r>
        <w:t xml:space="preserve"> </w:t>
      </w:r>
      <w:r>
        <w:rPr>
          <w:sz w:val="28"/>
        </w:rPr>
        <w:t>и результаты проведенной проверки.</w:t>
      </w:r>
    </w:p>
    <w:p w14:paraId="0A000000">
      <w:pPr>
        <w:tabs>
          <w:tab w:leader="none" w:pos="720" w:val="left"/>
        </w:tabs>
        <w:spacing w:line="300" w:lineRule="atLeast"/>
        <w:ind w:firstLine="567" w:left="0"/>
        <w:jc w:val="both"/>
        <w:rPr>
          <w:sz w:val="28"/>
        </w:rPr>
      </w:pPr>
    </w:p>
    <w:p w14:paraId="0B000000">
      <w:pPr>
        <w:tabs>
          <w:tab w:leader="none" w:pos="720" w:val="left"/>
        </w:tabs>
        <w:spacing w:line="300" w:lineRule="atLeast"/>
        <w:ind w:firstLine="567" w:left="0"/>
        <w:jc w:val="right"/>
        <w:rPr>
          <w:sz w:val="28"/>
        </w:rPr>
      </w:pPr>
      <w:r>
        <w:rPr>
          <w:sz w:val="28"/>
        </w:rPr>
        <w:t>Прокуратура Большемуртинского района</w:t>
      </w:r>
    </w:p>
    <w:p w14:paraId="0C000000"/>
    <w:p w14:paraId="0D000000"/>
    <w:p w14:paraId="0E000000">
      <w:pPr>
        <w:rPr>
          <w:sz w:val="28"/>
        </w:rPr>
      </w:pPr>
      <w:r>
        <w:rPr>
          <w:sz w:val="28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Normal (Web)"/>
    <w:basedOn w:val="Style_1"/>
    <w:link w:val="Style_4_ch"/>
    <w:pPr>
      <w:spacing w:afterAutospacing="on" w:beforeAutospacing="on"/>
      <w:ind/>
    </w:pPr>
  </w:style>
  <w:style w:styleId="Style_4_ch" w:type="character">
    <w:name w:val="Normal (Web)"/>
    <w:basedOn w:val="Style_1_ch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Strong"/>
    <w:link w:val="Style_7_ch"/>
    <w:rPr>
      <w:b w:val="1"/>
    </w:rPr>
  </w:style>
  <w:style w:styleId="Style_7_ch" w:type="character">
    <w:name w:val="Strong"/>
    <w:link w:val="Style_7"/>
    <w:rPr>
      <w:b w:val="1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eeds-page__navigation_icon is-text"/>
    <w:basedOn w:val="Style_11"/>
    <w:link w:val="Style_10_ch"/>
  </w:style>
  <w:style w:styleId="Style_10_ch" w:type="character">
    <w:name w:val="feeds-page__navigation_icon is-text"/>
    <w:basedOn w:val="Style_11_ch"/>
    <w:link w:val="Style_10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rinter"/>
    <w:basedOn w:val="Style_1"/>
    <w:link w:val="Style_13_ch"/>
    <w:pPr>
      <w:spacing w:afterAutospacing="on" w:beforeAutospacing="on"/>
      <w:ind/>
    </w:pPr>
  </w:style>
  <w:style w:styleId="Style_13_ch" w:type="character">
    <w:name w:val="printer"/>
    <w:basedOn w:val="Style_1_ch"/>
    <w:link w:val="Style_13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1"/>
    <w:next w:val="Style_1"/>
    <w:link w:val="Style_15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5_ch" w:type="character">
    <w:name w:val="heading 1"/>
    <w:basedOn w:val="Style_1_ch"/>
    <w:link w:val="Style_15"/>
    <w:rPr>
      <w:rFonts w:ascii="Arial" w:hAnsi="Arial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feeds-page__navigation_tooltip"/>
    <w:basedOn w:val="Style_11"/>
    <w:link w:val="Style_20_ch"/>
  </w:style>
  <w:style w:styleId="Style_20_ch" w:type="character">
    <w:name w:val="feeds-page__navigation_tooltip"/>
    <w:basedOn w:val="Style_11_ch"/>
    <w:link w:val="Style_20"/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feeds-page__navigation_icon is-share"/>
    <w:basedOn w:val="Style_11"/>
    <w:link w:val="Style_27_ch"/>
  </w:style>
  <w:style w:styleId="Style_27_ch" w:type="character">
    <w:name w:val="feeds-page__navigation_icon is-share"/>
    <w:basedOn w:val="Style_11_ch"/>
    <w:link w:val="Style_27"/>
  </w:style>
  <w:style w:styleId="Style_28" w:type="paragraph">
    <w:name w:val="heading 2"/>
    <w:basedOn w:val="Style_1"/>
    <w:link w:val="Style_28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28_ch" w:type="character">
    <w:name w:val="heading 2"/>
    <w:basedOn w:val="Style_1_ch"/>
    <w:link w:val="Style_28"/>
    <w:rPr>
      <w:b w:val="1"/>
      <w:sz w:val="3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2025-06-17T04:09:15Z</dcterms:modified>
</cp:coreProperties>
</file>